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FD9" w:rsidRPr="007E41D1" w:rsidRDefault="008D0293" w:rsidP="008D0293">
      <w:pPr>
        <w:pStyle w:val="Title"/>
        <w:rPr>
          <w:lang w:val="en-GB"/>
        </w:rPr>
      </w:pPr>
      <w:r w:rsidRPr="007E41D1">
        <w:rPr>
          <w:lang w:val="en-GB"/>
        </w:rPr>
        <w:t>Aid Transparency Index: technical review proposal</w:t>
      </w:r>
    </w:p>
    <w:p w:rsidR="008D0293" w:rsidRPr="007E41D1" w:rsidRDefault="008D0293" w:rsidP="008D0293">
      <w:pPr>
        <w:rPr>
          <w:lang w:val="en-GB"/>
        </w:rPr>
      </w:pPr>
    </w:p>
    <w:p w:rsidR="008D0293" w:rsidRPr="007E41D1" w:rsidRDefault="008D0293" w:rsidP="008D0293">
      <w:pPr>
        <w:rPr>
          <w:lang w:val="en-GB"/>
        </w:rPr>
      </w:pPr>
    </w:p>
    <w:sdt>
      <w:sdtPr>
        <w:rPr>
          <w:rFonts w:asciiTheme="minorHAnsi" w:eastAsiaTheme="minorHAnsi" w:hAnsiTheme="minorHAnsi" w:cstheme="minorBidi"/>
          <w:color w:val="auto"/>
          <w:sz w:val="22"/>
          <w:szCs w:val="22"/>
          <w:lang w:val="en-GB"/>
        </w:rPr>
        <w:id w:val="-1427413707"/>
        <w:docPartObj>
          <w:docPartGallery w:val="Table of Contents"/>
          <w:docPartUnique/>
        </w:docPartObj>
      </w:sdtPr>
      <w:sdtEndPr>
        <w:rPr>
          <w:b/>
          <w:bCs/>
          <w:noProof/>
        </w:rPr>
      </w:sdtEndPr>
      <w:sdtContent>
        <w:p w:rsidR="008D0293" w:rsidRPr="007E41D1" w:rsidRDefault="008D0293">
          <w:pPr>
            <w:pStyle w:val="TOCHeading"/>
            <w:rPr>
              <w:lang w:val="en-GB"/>
            </w:rPr>
          </w:pPr>
          <w:r w:rsidRPr="007E41D1">
            <w:rPr>
              <w:lang w:val="en-GB"/>
            </w:rPr>
            <w:t>Contents</w:t>
          </w:r>
        </w:p>
        <w:p w:rsidR="006E0D5A" w:rsidRDefault="008D0293">
          <w:pPr>
            <w:pStyle w:val="TOC1"/>
            <w:tabs>
              <w:tab w:val="right" w:leader="dot" w:pos="9350"/>
            </w:tabs>
            <w:rPr>
              <w:rFonts w:eastAsiaTheme="minorEastAsia"/>
              <w:noProof/>
            </w:rPr>
          </w:pPr>
          <w:r w:rsidRPr="007E41D1">
            <w:rPr>
              <w:b/>
              <w:bCs/>
              <w:noProof/>
              <w:lang w:val="en-GB"/>
            </w:rPr>
            <w:fldChar w:fldCharType="begin"/>
          </w:r>
          <w:r w:rsidRPr="007E41D1">
            <w:rPr>
              <w:b/>
              <w:bCs/>
              <w:noProof/>
              <w:lang w:val="en-GB"/>
            </w:rPr>
            <w:instrText xml:space="preserve"> TOC \o "1-3" \h \z \u </w:instrText>
          </w:r>
          <w:r w:rsidRPr="007E41D1">
            <w:rPr>
              <w:b/>
              <w:bCs/>
              <w:noProof/>
              <w:lang w:val="en-GB"/>
            </w:rPr>
            <w:fldChar w:fldCharType="separate"/>
          </w:r>
          <w:hyperlink w:anchor="_Toc66108859" w:history="1">
            <w:r w:rsidR="006E0D5A" w:rsidRPr="000E3C25">
              <w:rPr>
                <w:rStyle w:val="Hyperlink"/>
                <w:noProof/>
                <w:lang w:val="en-GB"/>
              </w:rPr>
              <w:t>Introduction</w:t>
            </w:r>
            <w:r w:rsidR="006E0D5A">
              <w:rPr>
                <w:noProof/>
                <w:webHidden/>
              </w:rPr>
              <w:tab/>
            </w:r>
            <w:r w:rsidR="006E0D5A">
              <w:rPr>
                <w:noProof/>
                <w:webHidden/>
              </w:rPr>
              <w:fldChar w:fldCharType="begin"/>
            </w:r>
            <w:r w:rsidR="006E0D5A">
              <w:rPr>
                <w:noProof/>
                <w:webHidden/>
              </w:rPr>
              <w:instrText xml:space="preserve"> PAGEREF _Toc66108859 \h </w:instrText>
            </w:r>
            <w:r w:rsidR="006E0D5A">
              <w:rPr>
                <w:noProof/>
                <w:webHidden/>
              </w:rPr>
            </w:r>
            <w:r w:rsidR="006E0D5A">
              <w:rPr>
                <w:noProof/>
                <w:webHidden/>
              </w:rPr>
              <w:fldChar w:fldCharType="separate"/>
            </w:r>
            <w:r w:rsidR="006E0D5A">
              <w:rPr>
                <w:noProof/>
                <w:webHidden/>
              </w:rPr>
              <w:t>2</w:t>
            </w:r>
            <w:r w:rsidR="006E0D5A">
              <w:rPr>
                <w:noProof/>
                <w:webHidden/>
              </w:rPr>
              <w:fldChar w:fldCharType="end"/>
            </w:r>
          </w:hyperlink>
        </w:p>
        <w:p w:rsidR="006E0D5A" w:rsidRDefault="009803CD">
          <w:pPr>
            <w:pStyle w:val="TOC1"/>
            <w:tabs>
              <w:tab w:val="right" w:leader="dot" w:pos="9350"/>
            </w:tabs>
            <w:rPr>
              <w:rFonts w:eastAsiaTheme="minorEastAsia"/>
              <w:noProof/>
            </w:rPr>
          </w:pPr>
          <w:hyperlink w:anchor="_Toc66108860" w:history="1">
            <w:r w:rsidR="006E0D5A" w:rsidRPr="000E3C25">
              <w:rPr>
                <w:rStyle w:val="Hyperlink"/>
                <w:noProof/>
                <w:lang w:val="en-GB"/>
              </w:rPr>
              <w:t>Networked data</w:t>
            </w:r>
            <w:r w:rsidR="006E0D5A">
              <w:rPr>
                <w:noProof/>
                <w:webHidden/>
              </w:rPr>
              <w:tab/>
            </w:r>
            <w:r w:rsidR="006E0D5A">
              <w:rPr>
                <w:noProof/>
                <w:webHidden/>
              </w:rPr>
              <w:fldChar w:fldCharType="begin"/>
            </w:r>
            <w:r w:rsidR="006E0D5A">
              <w:rPr>
                <w:noProof/>
                <w:webHidden/>
              </w:rPr>
              <w:instrText xml:space="preserve"> PAGEREF _Toc66108860 \h </w:instrText>
            </w:r>
            <w:r w:rsidR="006E0D5A">
              <w:rPr>
                <w:noProof/>
                <w:webHidden/>
              </w:rPr>
            </w:r>
            <w:r w:rsidR="006E0D5A">
              <w:rPr>
                <w:noProof/>
                <w:webHidden/>
              </w:rPr>
              <w:fldChar w:fldCharType="separate"/>
            </w:r>
            <w:r w:rsidR="006E0D5A">
              <w:rPr>
                <w:noProof/>
                <w:webHidden/>
              </w:rPr>
              <w:t>3</w:t>
            </w:r>
            <w:r w:rsidR="006E0D5A">
              <w:rPr>
                <w:noProof/>
                <w:webHidden/>
              </w:rPr>
              <w:fldChar w:fldCharType="end"/>
            </w:r>
          </w:hyperlink>
        </w:p>
        <w:p w:rsidR="006E0D5A" w:rsidRDefault="009803CD">
          <w:pPr>
            <w:pStyle w:val="TOC2"/>
            <w:tabs>
              <w:tab w:val="right" w:leader="dot" w:pos="9350"/>
            </w:tabs>
            <w:rPr>
              <w:rFonts w:eastAsiaTheme="minorEastAsia"/>
              <w:noProof/>
            </w:rPr>
          </w:pPr>
          <w:hyperlink w:anchor="_Toc66108861" w:history="1">
            <w:r w:rsidR="006E0D5A" w:rsidRPr="000E3C25">
              <w:rPr>
                <w:rStyle w:val="Hyperlink"/>
                <w:noProof/>
                <w:lang w:val="en-GB"/>
              </w:rPr>
              <w:t>Proposed indicator</w:t>
            </w:r>
            <w:r w:rsidR="006E0D5A">
              <w:rPr>
                <w:noProof/>
                <w:webHidden/>
              </w:rPr>
              <w:tab/>
            </w:r>
            <w:r w:rsidR="006E0D5A">
              <w:rPr>
                <w:noProof/>
                <w:webHidden/>
              </w:rPr>
              <w:fldChar w:fldCharType="begin"/>
            </w:r>
            <w:r w:rsidR="006E0D5A">
              <w:rPr>
                <w:noProof/>
                <w:webHidden/>
              </w:rPr>
              <w:instrText xml:space="preserve"> PAGEREF _Toc66108861 \h </w:instrText>
            </w:r>
            <w:r w:rsidR="006E0D5A">
              <w:rPr>
                <w:noProof/>
                <w:webHidden/>
              </w:rPr>
            </w:r>
            <w:r w:rsidR="006E0D5A">
              <w:rPr>
                <w:noProof/>
                <w:webHidden/>
              </w:rPr>
              <w:fldChar w:fldCharType="separate"/>
            </w:r>
            <w:r w:rsidR="006E0D5A">
              <w:rPr>
                <w:noProof/>
                <w:webHidden/>
              </w:rPr>
              <w:t>3</w:t>
            </w:r>
            <w:r w:rsidR="006E0D5A">
              <w:rPr>
                <w:noProof/>
                <w:webHidden/>
              </w:rPr>
              <w:fldChar w:fldCharType="end"/>
            </w:r>
          </w:hyperlink>
        </w:p>
        <w:p w:rsidR="006E0D5A" w:rsidRDefault="009803CD">
          <w:pPr>
            <w:pStyle w:val="TOC2"/>
            <w:tabs>
              <w:tab w:val="right" w:leader="dot" w:pos="9350"/>
            </w:tabs>
            <w:rPr>
              <w:rFonts w:eastAsiaTheme="minorEastAsia"/>
              <w:noProof/>
            </w:rPr>
          </w:pPr>
          <w:hyperlink w:anchor="_Toc66108862" w:history="1">
            <w:r w:rsidR="006E0D5A" w:rsidRPr="000E3C25">
              <w:rPr>
                <w:rStyle w:val="Hyperlink"/>
                <w:noProof/>
                <w:lang w:val="en-GB"/>
              </w:rPr>
              <w:t>Scoring</w:t>
            </w:r>
            <w:r w:rsidR="006E0D5A">
              <w:rPr>
                <w:noProof/>
                <w:webHidden/>
              </w:rPr>
              <w:tab/>
            </w:r>
            <w:r w:rsidR="006E0D5A">
              <w:rPr>
                <w:noProof/>
                <w:webHidden/>
              </w:rPr>
              <w:fldChar w:fldCharType="begin"/>
            </w:r>
            <w:r w:rsidR="006E0D5A">
              <w:rPr>
                <w:noProof/>
                <w:webHidden/>
              </w:rPr>
              <w:instrText xml:space="preserve"> PAGEREF _Toc66108862 \h </w:instrText>
            </w:r>
            <w:r w:rsidR="006E0D5A">
              <w:rPr>
                <w:noProof/>
                <w:webHidden/>
              </w:rPr>
            </w:r>
            <w:r w:rsidR="006E0D5A">
              <w:rPr>
                <w:noProof/>
                <w:webHidden/>
              </w:rPr>
              <w:fldChar w:fldCharType="separate"/>
            </w:r>
            <w:r w:rsidR="006E0D5A">
              <w:rPr>
                <w:noProof/>
                <w:webHidden/>
              </w:rPr>
              <w:t>4</w:t>
            </w:r>
            <w:r w:rsidR="006E0D5A">
              <w:rPr>
                <w:noProof/>
                <w:webHidden/>
              </w:rPr>
              <w:fldChar w:fldCharType="end"/>
            </w:r>
          </w:hyperlink>
        </w:p>
        <w:p w:rsidR="006E0D5A" w:rsidRDefault="009803CD">
          <w:pPr>
            <w:pStyle w:val="TOC1"/>
            <w:tabs>
              <w:tab w:val="right" w:leader="dot" w:pos="9350"/>
            </w:tabs>
            <w:rPr>
              <w:rFonts w:eastAsiaTheme="minorEastAsia"/>
              <w:noProof/>
            </w:rPr>
          </w:pPr>
          <w:hyperlink w:anchor="_Toc66108863" w:history="1">
            <w:r w:rsidR="006E0D5A" w:rsidRPr="000E3C25">
              <w:rPr>
                <w:rStyle w:val="Hyperlink"/>
                <w:noProof/>
                <w:lang w:val="en-GB"/>
              </w:rPr>
              <w:t>Conditions indicator</w:t>
            </w:r>
            <w:r w:rsidR="006E0D5A">
              <w:rPr>
                <w:noProof/>
                <w:webHidden/>
              </w:rPr>
              <w:tab/>
            </w:r>
            <w:r w:rsidR="006E0D5A">
              <w:rPr>
                <w:noProof/>
                <w:webHidden/>
              </w:rPr>
              <w:fldChar w:fldCharType="begin"/>
            </w:r>
            <w:r w:rsidR="006E0D5A">
              <w:rPr>
                <w:noProof/>
                <w:webHidden/>
              </w:rPr>
              <w:instrText xml:space="preserve"> PAGEREF _Toc66108863 \h </w:instrText>
            </w:r>
            <w:r w:rsidR="006E0D5A">
              <w:rPr>
                <w:noProof/>
                <w:webHidden/>
              </w:rPr>
            </w:r>
            <w:r w:rsidR="006E0D5A">
              <w:rPr>
                <w:noProof/>
                <w:webHidden/>
              </w:rPr>
              <w:fldChar w:fldCharType="separate"/>
            </w:r>
            <w:r w:rsidR="006E0D5A">
              <w:rPr>
                <w:noProof/>
                <w:webHidden/>
              </w:rPr>
              <w:t>5</w:t>
            </w:r>
            <w:r w:rsidR="006E0D5A">
              <w:rPr>
                <w:noProof/>
                <w:webHidden/>
              </w:rPr>
              <w:fldChar w:fldCharType="end"/>
            </w:r>
          </w:hyperlink>
        </w:p>
        <w:p w:rsidR="006E0D5A" w:rsidRDefault="009803CD">
          <w:pPr>
            <w:pStyle w:val="TOC2"/>
            <w:tabs>
              <w:tab w:val="right" w:leader="dot" w:pos="9350"/>
            </w:tabs>
            <w:rPr>
              <w:rFonts w:eastAsiaTheme="minorEastAsia"/>
              <w:noProof/>
            </w:rPr>
          </w:pPr>
          <w:hyperlink w:anchor="_Toc66108864" w:history="1">
            <w:r w:rsidR="006E0D5A" w:rsidRPr="000E3C25">
              <w:rPr>
                <w:rStyle w:val="Hyperlink"/>
                <w:noProof/>
                <w:lang w:val="en-GB"/>
              </w:rPr>
              <w:t>Proposed changes</w:t>
            </w:r>
            <w:r w:rsidR="006E0D5A">
              <w:rPr>
                <w:noProof/>
                <w:webHidden/>
              </w:rPr>
              <w:tab/>
            </w:r>
            <w:r w:rsidR="006E0D5A">
              <w:rPr>
                <w:noProof/>
                <w:webHidden/>
              </w:rPr>
              <w:fldChar w:fldCharType="begin"/>
            </w:r>
            <w:r w:rsidR="006E0D5A">
              <w:rPr>
                <w:noProof/>
                <w:webHidden/>
              </w:rPr>
              <w:instrText xml:space="preserve"> PAGEREF _Toc66108864 \h </w:instrText>
            </w:r>
            <w:r w:rsidR="006E0D5A">
              <w:rPr>
                <w:noProof/>
                <w:webHidden/>
              </w:rPr>
            </w:r>
            <w:r w:rsidR="006E0D5A">
              <w:rPr>
                <w:noProof/>
                <w:webHidden/>
              </w:rPr>
              <w:fldChar w:fldCharType="separate"/>
            </w:r>
            <w:r w:rsidR="006E0D5A">
              <w:rPr>
                <w:noProof/>
                <w:webHidden/>
              </w:rPr>
              <w:t>5</w:t>
            </w:r>
            <w:r w:rsidR="006E0D5A">
              <w:rPr>
                <w:noProof/>
                <w:webHidden/>
              </w:rPr>
              <w:fldChar w:fldCharType="end"/>
            </w:r>
          </w:hyperlink>
        </w:p>
        <w:p w:rsidR="006E0D5A" w:rsidRDefault="009803CD">
          <w:pPr>
            <w:pStyle w:val="TOC2"/>
            <w:tabs>
              <w:tab w:val="right" w:leader="dot" w:pos="9350"/>
            </w:tabs>
            <w:rPr>
              <w:rFonts w:eastAsiaTheme="minorEastAsia"/>
              <w:noProof/>
            </w:rPr>
          </w:pPr>
          <w:hyperlink w:anchor="_Toc66108865" w:history="1">
            <w:r w:rsidR="006E0D5A" w:rsidRPr="000E3C25">
              <w:rPr>
                <w:rStyle w:val="Hyperlink"/>
                <w:noProof/>
                <w:lang w:val="en-GB"/>
              </w:rPr>
              <w:t>Changes to Index definition</w:t>
            </w:r>
            <w:r w:rsidR="006E0D5A">
              <w:rPr>
                <w:noProof/>
                <w:webHidden/>
              </w:rPr>
              <w:tab/>
            </w:r>
            <w:r w:rsidR="006E0D5A">
              <w:rPr>
                <w:noProof/>
                <w:webHidden/>
              </w:rPr>
              <w:fldChar w:fldCharType="begin"/>
            </w:r>
            <w:r w:rsidR="006E0D5A">
              <w:rPr>
                <w:noProof/>
                <w:webHidden/>
              </w:rPr>
              <w:instrText xml:space="preserve"> PAGEREF _Toc66108865 \h </w:instrText>
            </w:r>
            <w:r w:rsidR="006E0D5A">
              <w:rPr>
                <w:noProof/>
                <w:webHidden/>
              </w:rPr>
            </w:r>
            <w:r w:rsidR="006E0D5A">
              <w:rPr>
                <w:noProof/>
                <w:webHidden/>
              </w:rPr>
              <w:fldChar w:fldCharType="separate"/>
            </w:r>
            <w:r w:rsidR="006E0D5A">
              <w:rPr>
                <w:noProof/>
                <w:webHidden/>
              </w:rPr>
              <w:t>5</w:t>
            </w:r>
            <w:r w:rsidR="006E0D5A">
              <w:rPr>
                <w:noProof/>
                <w:webHidden/>
              </w:rPr>
              <w:fldChar w:fldCharType="end"/>
            </w:r>
          </w:hyperlink>
        </w:p>
        <w:p w:rsidR="006E0D5A" w:rsidRDefault="009803CD">
          <w:pPr>
            <w:pStyle w:val="TOC1"/>
            <w:tabs>
              <w:tab w:val="right" w:leader="dot" w:pos="9350"/>
            </w:tabs>
            <w:rPr>
              <w:rFonts w:eastAsiaTheme="minorEastAsia"/>
              <w:noProof/>
            </w:rPr>
          </w:pPr>
          <w:hyperlink w:anchor="_Toc66108866" w:history="1">
            <w:r w:rsidR="006E0D5A" w:rsidRPr="000E3C25">
              <w:rPr>
                <w:rStyle w:val="Hyperlink"/>
                <w:noProof/>
                <w:lang w:val="en-GB"/>
              </w:rPr>
              <w:t>Changes to IATI data quality sampling process</w:t>
            </w:r>
            <w:r w:rsidR="006E0D5A">
              <w:rPr>
                <w:noProof/>
                <w:webHidden/>
              </w:rPr>
              <w:tab/>
            </w:r>
            <w:r w:rsidR="006E0D5A">
              <w:rPr>
                <w:noProof/>
                <w:webHidden/>
              </w:rPr>
              <w:fldChar w:fldCharType="begin"/>
            </w:r>
            <w:r w:rsidR="006E0D5A">
              <w:rPr>
                <w:noProof/>
                <w:webHidden/>
              </w:rPr>
              <w:instrText xml:space="preserve"> PAGEREF _Toc66108866 \h </w:instrText>
            </w:r>
            <w:r w:rsidR="006E0D5A">
              <w:rPr>
                <w:noProof/>
                <w:webHidden/>
              </w:rPr>
            </w:r>
            <w:r w:rsidR="006E0D5A">
              <w:rPr>
                <w:noProof/>
                <w:webHidden/>
              </w:rPr>
              <w:fldChar w:fldCharType="separate"/>
            </w:r>
            <w:r w:rsidR="006E0D5A">
              <w:rPr>
                <w:noProof/>
                <w:webHidden/>
              </w:rPr>
              <w:t>7</w:t>
            </w:r>
            <w:r w:rsidR="006E0D5A">
              <w:rPr>
                <w:noProof/>
                <w:webHidden/>
              </w:rPr>
              <w:fldChar w:fldCharType="end"/>
            </w:r>
          </w:hyperlink>
        </w:p>
        <w:p w:rsidR="006E0D5A" w:rsidRDefault="009803CD">
          <w:pPr>
            <w:pStyle w:val="TOC2"/>
            <w:tabs>
              <w:tab w:val="right" w:leader="dot" w:pos="9350"/>
            </w:tabs>
            <w:rPr>
              <w:rFonts w:eastAsiaTheme="minorEastAsia"/>
              <w:noProof/>
            </w:rPr>
          </w:pPr>
          <w:hyperlink w:anchor="_Toc66108867" w:history="1">
            <w:r w:rsidR="006E0D5A" w:rsidRPr="000E3C25">
              <w:rPr>
                <w:rStyle w:val="Hyperlink"/>
                <w:noProof/>
                <w:lang w:val="en-GB"/>
              </w:rPr>
              <w:t>Changes to technical paper</w:t>
            </w:r>
            <w:r w:rsidR="006E0D5A">
              <w:rPr>
                <w:noProof/>
                <w:webHidden/>
              </w:rPr>
              <w:tab/>
            </w:r>
            <w:r w:rsidR="006E0D5A">
              <w:rPr>
                <w:noProof/>
                <w:webHidden/>
              </w:rPr>
              <w:fldChar w:fldCharType="begin"/>
            </w:r>
            <w:r w:rsidR="006E0D5A">
              <w:rPr>
                <w:noProof/>
                <w:webHidden/>
              </w:rPr>
              <w:instrText xml:space="preserve"> PAGEREF _Toc66108867 \h </w:instrText>
            </w:r>
            <w:r w:rsidR="006E0D5A">
              <w:rPr>
                <w:noProof/>
                <w:webHidden/>
              </w:rPr>
            </w:r>
            <w:r w:rsidR="006E0D5A">
              <w:rPr>
                <w:noProof/>
                <w:webHidden/>
              </w:rPr>
              <w:fldChar w:fldCharType="separate"/>
            </w:r>
            <w:r w:rsidR="006E0D5A">
              <w:rPr>
                <w:noProof/>
                <w:webHidden/>
              </w:rPr>
              <w:t>8</w:t>
            </w:r>
            <w:r w:rsidR="006E0D5A">
              <w:rPr>
                <w:noProof/>
                <w:webHidden/>
              </w:rPr>
              <w:fldChar w:fldCharType="end"/>
            </w:r>
          </w:hyperlink>
        </w:p>
        <w:p w:rsidR="006E0D5A" w:rsidRDefault="009803CD">
          <w:pPr>
            <w:pStyle w:val="TOC1"/>
            <w:tabs>
              <w:tab w:val="right" w:leader="dot" w:pos="9350"/>
            </w:tabs>
            <w:rPr>
              <w:rFonts w:eastAsiaTheme="minorEastAsia"/>
              <w:noProof/>
            </w:rPr>
          </w:pPr>
          <w:hyperlink w:anchor="_Toc66108868" w:history="1">
            <w:r w:rsidR="006E0D5A" w:rsidRPr="000E3C25">
              <w:rPr>
                <w:rStyle w:val="Hyperlink"/>
                <w:noProof/>
                <w:lang w:val="en-GB"/>
              </w:rPr>
              <w:t>Scoring structure/accessibility criteria</w:t>
            </w:r>
            <w:r w:rsidR="006E0D5A">
              <w:rPr>
                <w:noProof/>
                <w:webHidden/>
              </w:rPr>
              <w:tab/>
            </w:r>
            <w:r w:rsidR="006E0D5A">
              <w:rPr>
                <w:noProof/>
                <w:webHidden/>
              </w:rPr>
              <w:fldChar w:fldCharType="begin"/>
            </w:r>
            <w:r w:rsidR="006E0D5A">
              <w:rPr>
                <w:noProof/>
                <w:webHidden/>
              </w:rPr>
              <w:instrText xml:space="preserve"> PAGEREF _Toc66108868 \h </w:instrText>
            </w:r>
            <w:r w:rsidR="006E0D5A">
              <w:rPr>
                <w:noProof/>
                <w:webHidden/>
              </w:rPr>
            </w:r>
            <w:r w:rsidR="006E0D5A">
              <w:rPr>
                <w:noProof/>
                <w:webHidden/>
              </w:rPr>
              <w:fldChar w:fldCharType="separate"/>
            </w:r>
            <w:r w:rsidR="006E0D5A">
              <w:rPr>
                <w:noProof/>
                <w:webHidden/>
              </w:rPr>
              <w:t>10</w:t>
            </w:r>
            <w:r w:rsidR="006E0D5A">
              <w:rPr>
                <w:noProof/>
                <w:webHidden/>
              </w:rPr>
              <w:fldChar w:fldCharType="end"/>
            </w:r>
          </w:hyperlink>
        </w:p>
        <w:p w:rsidR="006E0D5A" w:rsidRDefault="009803CD">
          <w:pPr>
            <w:pStyle w:val="TOC2"/>
            <w:tabs>
              <w:tab w:val="right" w:leader="dot" w:pos="9350"/>
            </w:tabs>
            <w:rPr>
              <w:rFonts w:eastAsiaTheme="minorEastAsia"/>
              <w:noProof/>
            </w:rPr>
          </w:pPr>
          <w:hyperlink w:anchor="_Toc66108869" w:history="1">
            <w:r w:rsidR="006E0D5A" w:rsidRPr="000E3C25">
              <w:rPr>
                <w:rStyle w:val="Hyperlink"/>
                <w:noProof/>
                <w:lang w:val="en-GB"/>
              </w:rPr>
              <w:t>New technical paper text</w:t>
            </w:r>
            <w:r w:rsidR="006E0D5A">
              <w:rPr>
                <w:noProof/>
                <w:webHidden/>
              </w:rPr>
              <w:tab/>
            </w:r>
            <w:r w:rsidR="006E0D5A">
              <w:rPr>
                <w:noProof/>
                <w:webHidden/>
              </w:rPr>
              <w:fldChar w:fldCharType="begin"/>
            </w:r>
            <w:r w:rsidR="006E0D5A">
              <w:rPr>
                <w:noProof/>
                <w:webHidden/>
              </w:rPr>
              <w:instrText xml:space="preserve"> PAGEREF _Toc66108869 \h </w:instrText>
            </w:r>
            <w:r w:rsidR="006E0D5A">
              <w:rPr>
                <w:noProof/>
                <w:webHidden/>
              </w:rPr>
            </w:r>
            <w:r w:rsidR="006E0D5A">
              <w:rPr>
                <w:noProof/>
                <w:webHidden/>
              </w:rPr>
              <w:fldChar w:fldCharType="separate"/>
            </w:r>
            <w:r w:rsidR="006E0D5A">
              <w:rPr>
                <w:noProof/>
                <w:webHidden/>
              </w:rPr>
              <w:t>11</w:t>
            </w:r>
            <w:r w:rsidR="006E0D5A">
              <w:rPr>
                <w:noProof/>
                <w:webHidden/>
              </w:rPr>
              <w:fldChar w:fldCharType="end"/>
            </w:r>
          </w:hyperlink>
        </w:p>
        <w:p w:rsidR="006E0D5A" w:rsidRDefault="009803CD">
          <w:pPr>
            <w:pStyle w:val="TOC1"/>
            <w:tabs>
              <w:tab w:val="right" w:leader="dot" w:pos="9350"/>
            </w:tabs>
            <w:rPr>
              <w:rFonts w:eastAsiaTheme="minorEastAsia"/>
              <w:noProof/>
            </w:rPr>
          </w:pPr>
          <w:hyperlink w:anchor="_Toc66108870" w:history="1">
            <w:r w:rsidR="006E0D5A" w:rsidRPr="000E3C25">
              <w:rPr>
                <w:rStyle w:val="Hyperlink"/>
                <w:noProof/>
                <w:lang w:val="en-GB"/>
              </w:rPr>
              <w:t>Pre-project impact appraisals</w:t>
            </w:r>
            <w:r w:rsidR="006E0D5A">
              <w:rPr>
                <w:noProof/>
                <w:webHidden/>
              </w:rPr>
              <w:tab/>
            </w:r>
            <w:r w:rsidR="006E0D5A">
              <w:rPr>
                <w:noProof/>
                <w:webHidden/>
              </w:rPr>
              <w:fldChar w:fldCharType="begin"/>
            </w:r>
            <w:r w:rsidR="006E0D5A">
              <w:rPr>
                <w:noProof/>
                <w:webHidden/>
              </w:rPr>
              <w:instrText xml:space="preserve"> PAGEREF _Toc66108870 \h </w:instrText>
            </w:r>
            <w:r w:rsidR="006E0D5A">
              <w:rPr>
                <w:noProof/>
                <w:webHidden/>
              </w:rPr>
            </w:r>
            <w:r w:rsidR="006E0D5A">
              <w:rPr>
                <w:noProof/>
                <w:webHidden/>
              </w:rPr>
              <w:fldChar w:fldCharType="separate"/>
            </w:r>
            <w:r w:rsidR="006E0D5A">
              <w:rPr>
                <w:noProof/>
                <w:webHidden/>
              </w:rPr>
              <w:t>13</w:t>
            </w:r>
            <w:r w:rsidR="006E0D5A">
              <w:rPr>
                <w:noProof/>
                <w:webHidden/>
              </w:rPr>
              <w:fldChar w:fldCharType="end"/>
            </w:r>
          </w:hyperlink>
        </w:p>
        <w:p w:rsidR="006E0D5A" w:rsidRDefault="009803CD">
          <w:pPr>
            <w:pStyle w:val="TOC1"/>
            <w:tabs>
              <w:tab w:val="right" w:leader="dot" w:pos="9350"/>
            </w:tabs>
            <w:rPr>
              <w:rFonts w:eastAsiaTheme="minorEastAsia"/>
              <w:noProof/>
            </w:rPr>
          </w:pPr>
          <w:hyperlink w:anchor="_Toc66108871" w:history="1">
            <w:r w:rsidR="006E0D5A" w:rsidRPr="000E3C25">
              <w:rPr>
                <w:rStyle w:val="Hyperlink"/>
                <w:noProof/>
                <w:lang w:val="en-GB"/>
              </w:rPr>
              <w:t>Weightings</w:t>
            </w:r>
            <w:r w:rsidR="006E0D5A">
              <w:rPr>
                <w:noProof/>
                <w:webHidden/>
              </w:rPr>
              <w:tab/>
            </w:r>
            <w:r w:rsidR="006E0D5A">
              <w:rPr>
                <w:noProof/>
                <w:webHidden/>
              </w:rPr>
              <w:fldChar w:fldCharType="begin"/>
            </w:r>
            <w:r w:rsidR="006E0D5A">
              <w:rPr>
                <w:noProof/>
                <w:webHidden/>
              </w:rPr>
              <w:instrText xml:space="preserve"> PAGEREF _Toc66108871 \h </w:instrText>
            </w:r>
            <w:r w:rsidR="006E0D5A">
              <w:rPr>
                <w:noProof/>
                <w:webHidden/>
              </w:rPr>
            </w:r>
            <w:r w:rsidR="006E0D5A">
              <w:rPr>
                <w:noProof/>
                <w:webHidden/>
              </w:rPr>
              <w:fldChar w:fldCharType="separate"/>
            </w:r>
            <w:r w:rsidR="006E0D5A">
              <w:rPr>
                <w:noProof/>
                <w:webHidden/>
              </w:rPr>
              <w:t>14</w:t>
            </w:r>
            <w:r w:rsidR="006E0D5A">
              <w:rPr>
                <w:noProof/>
                <w:webHidden/>
              </w:rPr>
              <w:fldChar w:fldCharType="end"/>
            </w:r>
          </w:hyperlink>
        </w:p>
        <w:p w:rsidR="006E0D5A" w:rsidRDefault="009803CD">
          <w:pPr>
            <w:pStyle w:val="TOC1"/>
            <w:tabs>
              <w:tab w:val="right" w:leader="dot" w:pos="9350"/>
            </w:tabs>
            <w:rPr>
              <w:rFonts w:eastAsiaTheme="minorEastAsia"/>
              <w:noProof/>
            </w:rPr>
          </w:pPr>
          <w:hyperlink w:anchor="_Toc66108872" w:history="1">
            <w:r w:rsidR="006E0D5A" w:rsidRPr="000E3C25">
              <w:rPr>
                <w:rStyle w:val="Hyperlink"/>
                <w:noProof/>
                <w:lang w:val="en-GB"/>
              </w:rPr>
              <w:t>Annex: Proposals not taken forward</w:t>
            </w:r>
            <w:r w:rsidR="006E0D5A">
              <w:rPr>
                <w:noProof/>
                <w:webHidden/>
              </w:rPr>
              <w:tab/>
            </w:r>
            <w:r w:rsidR="006E0D5A">
              <w:rPr>
                <w:noProof/>
                <w:webHidden/>
              </w:rPr>
              <w:fldChar w:fldCharType="begin"/>
            </w:r>
            <w:r w:rsidR="006E0D5A">
              <w:rPr>
                <w:noProof/>
                <w:webHidden/>
              </w:rPr>
              <w:instrText xml:space="preserve"> PAGEREF _Toc66108872 \h </w:instrText>
            </w:r>
            <w:r w:rsidR="006E0D5A">
              <w:rPr>
                <w:noProof/>
                <w:webHidden/>
              </w:rPr>
            </w:r>
            <w:r w:rsidR="006E0D5A">
              <w:rPr>
                <w:noProof/>
                <w:webHidden/>
              </w:rPr>
              <w:fldChar w:fldCharType="separate"/>
            </w:r>
            <w:r w:rsidR="006E0D5A">
              <w:rPr>
                <w:noProof/>
                <w:webHidden/>
              </w:rPr>
              <w:t>16</w:t>
            </w:r>
            <w:r w:rsidR="006E0D5A">
              <w:rPr>
                <w:noProof/>
                <w:webHidden/>
              </w:rPr>
              <w:fldChar w:fldCharType="end"/>
            </w:r>
          </w:hyperlink>
        </w:p>
        <w:p w:rsidR="008D0293" w:rsidRPr="007E41D1" w:rsidRDefault="008D0293">
          <w:pPr>
            <w:rPr>
              <w:lang w:val="en-GB"/>
            </w:rPr>
          </w:pPr>
          <w:r w:rsidRPr="007E41D1">
            <w:rPr>
              <w:b/>
              <w:bCs/>
              <w:noProof/>
              <w:lang w:val="en-GB"/>
            </w:rPr>
            <w:fldChar w:fldCharType="end"/>
          </w:r>
        </w:p>
      </w:sdtContent>
    </w:sdt>
    <w:p w:rsidR="008D0293" w:rsidRPr="007E41D1" w:rsidRDefault="008D0293" w:rsidP="008D0293">
      <w:pPr>
        <w:rPr>
          <w:lang w:val="en-GB"/>
        </w:rPr>
      </w:pPr>
    </w:p>
    <w:p w:rsidR="008D0293" w:rsidRPr="007E41D1" w:rsidRDefault="008D0293" w:rsidP="008D0293">
      <w:pPr>
        <w:rPr>
          <w:lang w:val="en-GB"/>
        </w:rPr>
      </w:pPr>
    </w:p>
    <w:p w:rsidR="00DC3FD9" w:rsidRPr="007E41D1" w:rsidRDefault="00DC3FD9" w:rsidP="00564AF4">
      <w:pPr>
        <w:pStyle w:val="Heading1"/>
        <w:rPr>
          <w:lang w:val="en-GB"/>
        </w:rPr>
      </w:pPr>
    </w:p>
    <w:p w:rsidR="0030416E" w:rsidRPr="007E41D1" w:rsidRDefault="0030416E">
      <w:pPr>
        <w:rPr>
          <w:rFonts w:asciiTheme="majorHAnsi" w:eastAsiaTheme="majorEastAsia" w:hAnsiTheme="majorHAnsi" w:cstheme="majorBidi"/>
          <w:color w:val="2E74B5" w:themeColor="accent1" w:themeShade="BF"/>
          <w:sz w:val="32"/>
          <w:szCs w:val="32"/>
          <w:lang w:val="en-GB"/>
        </w:rPr>
      </w:pPr>
      <w:bookmarkStart w:id="0" w:name="_Toc65502290"/>
      <w:r w:rsidRPr="007E41D1">
        <w:rPr>
          <w:lang w:val="en-GB"/>
        </w:rPr>
        <w:br w:type="page"/>
      </w:r>
    </w:p>
    <w:p w:rsidR="00512B55" w:rsidRPr="007E41D1" w:rsidRDefault="00512B55" w:rsidP="00564AF4">
      <w:pPr>
        <w:pStyle w:val="Heading1"/>
        <w:rPr>
          <w:lang w:val="en-GB"/>
        </w:rPr>
      </w:pPr>
      <w:bookmarkStart w:id="1" w:name="_Toc66108859"/>
      <w:r w:rsidRPr="007E41D1">
        <w:rPr>
          <w:lang w:val="en-GB"/>
        </w:rPr>
        <w:lastRenderedPageBreak/>
        <w:t>Introduction</w:t>
      </w:r>
      <w:bookmarkEnd w:id="0"/>
      <w:bookmarkEnd w:id="1"/>
    </w:p>
    <w:p w:rsidR="004C2382" w:rsidRPr="007E41D1" w:rsidRDefault="004C2382" w:rsidP="004C2382">
      <w:pPr>
        <w:rPr>
          <w:lang w:val="en-GB"/>
        </w:rPr>
      </w:pPr>
      <w:r w:rsidRPr="007E41D1">
        <w:rPr>
          <w:lang w:val="en-GB"/>
        </w:rPr>
        <w:t>Publish What You Fund is reviewing the Aid Transparency Index assessment and scoring approach. Our aim is to update the assessment method to adapt to new developments and ensure the Index continues to reflect the areas of aid transparency that are most important for those using the data, particularly stakeholders in the global south.</w:t>
      </w:r>
    </w:p>
    <w:p w:rsidR="004C2382" w:rsidRPr="007E41D1" w:rsidRDefault="004C2382" w:rsidP="004C2382">
      <w:pPr>
        <w:rPr>
          <w:lang w:val="en-GB"/>
        </w:rPr>
      </w:pPr>
      <w:r w:rsidRPr="007E41D1">
        <w:rPr>
          <w:lang w:val="en-GB"/>
        </w:rPr>
        <w:t xml:space="preserve">In keeping with the Index itself, we are running this review process in a transparent and participatory way and have sought input and expertise from the wider aid transparency community. </w:t>
      </w:r>
    </w:p>
    <w:p w:rsidR="007C529A" w:rsidRPr="007E41D1" w:rsidRDefault="004C2382" w:rsidP="004C2382">
      <w:pPr>
        <w:rPr>
          <w:lang w:val="en-GB"/>
        </w:rPr>
      </w:pPr>
      <w:r w:rsidRPr="007E41D1">
        <w:rPr>
          <w:lang w:val="en-GB"/>
        </w:rPr>
        <w:t>Th</w:t>
      </w:r>
      <w:r w:rsidR="00E41E9F" w:rsidRPr="007E41D1">
        <w:rPr>
          <w:lang w:val="en-GB"/>
        </w:rPr>
        <w:t>e review is a three part process.</w:t>
      </w:r>
      <w:r w:rsidRPr="007E41D1">
        <w:rPr>
          <w:lang w:val="en-GB"/>
        </w:rPr>
        <w:t xml:space="preserve"> </w:t>
      </w:r>
      <w:r w:rsidR="00E41E9F" w:rsidRPr="007E41D1">
        <w:rPr>
          <w:lang w:val="en-GB"/>
        </w:rPr>
        <w:t>We</w:t>
      </w:r>
      <w:r w:rsidRPr="007E41D1">
        <w:rPr>
          <w:lang w:val="en-GB"/>
        </w:rPr>
        <w:t xml:space="preserve"> began with an </w:t>
      </w:r>
      <w:r w:rsidRPr="007E41D1">
        <w:rPr>
          <w:b/>
          <w:lang w:val="en-GB"/>
        </w:rPr>
        <w:t>internal review</w:t>
      </w:r>
      <w:r w:rsidRPr="007E41D1">
        <w:rPr>
          <w:lang w:val="en-GB"/>
        </w:rPr>
        <w:t xml:space="preserve"> to develop proposals for areas of improvement or adjustment to the </w:t>
      </w:r>
      <w:r w:rsidR="00E41E9F" w:rsidRPr="007E41D1">
        <w:rPr>
          <w:lang w:val="en-GB"/>
        </w:rPr>
        <w:t>Index approach</w:t>
      </w:r>
      <w:r w:rsidRPr="007E41D1">
        <w:rPr>
          <w:lang w:val="en-GB"/>
        </w:rPr>
        <w:t xml:space="preserve">. </w:t>
      </w:r>
      <w:r w:rsidR="00E41E9F" w:rsidRPr="007E41D1">
        <w:rPr>
          <w:lang w:val="en-GB"/>
        </w:rPr>
        <w:t xml:space="preserve">We then carried out a </w:t>
      </w:r>
      <w:r w:rsidR="00E41E9F" w:rsidRPr="007E41D1">
        <w:rPr>
          <w:b/>
          <w:lang w:val="en-GB"/>
        </w:rPr>
        <w:t>stakeholder consultation</w:t>
      </w:r>
      <w:r w:rsidR="00E41E9F" w:rsidRPr="007E41D1">
        <w:rPr>
          <w:lang w:val="en-GB"/>
        </w:rPr>
        <w:t xml:space="preserve"> process, running both an online data use survey and a series of consultation meetings with technical experts and the </w:t>
      </w:r>
      <w:r w:rsidR="009945DD">
        <w:rPr>
          <w:lang w:val="en-GB"/>
        </w:rPr>
        <w:t>organisation</w:t>
      </w:r>
      <w:r w:rsidR="00E41E9F" w:rsidRPr="007E41D1">
        <w:rPr>
          <w:lang w:val="en-GB"/>
        </w:rPr>
        <w:t>s assessed in the Index.  We used these inputs to further refine and develop our proposal</w:t>
      </w:r>
      <w:r w:rsidR="007C529A" w:rsidRPr="007E41D1">
        <w:rPr>
          <w:lang w:val="en-GB"/>
        </w:rPr>
        <w:t xml:space="preserve"> and to</w:t>
      </w:r>
      <w:r w:rsidR="00E41E9F" w:rsidRPr="007E41D1">
        <w:rPr>
          <w:lang w:val="en-GB"/>
        </w:rPr>
        <w:t xml:space="preserve"> </w:t>
      </w:r>
      <w:r w:rsidR="007C529A" w:rsidRPr="007E41D1">
        <w:rPr>
          <w:lang w:val="en-GB"/>
        </w:rPr>
        <w:t>assess</w:t>
      </w:r>
      <w:r w:rsidR="00E41E9F" w:rsidRPr="007E41D1">
        <w:rPr>
          <w:lang w:val="en-GB"/>
        </w:rPr>
        <w:t xml:space="preserve"> the feasibility and appropriateness of the proposed changes we had developed internally.</w:t>
      </w:r>
      <w:r w:rsidR="00651B31" w:rsidRPr="007E41D1">
        <w:rPr>
          <w:lang w:val="en-GB"/>
        </w:rPr>
        <w:t xml:space="preserve">  From these consultations we have now developed this </w:t>
      </w:r>
      <w:r w:rsidR="00651B31" w:rsidRPr="007E41D1">
        <w:rPr>
          <w:b/>
          <w:lang w:val="en-GB"/>
        </w:rPr>
        <w:t>proposal for comment</w:t>
      </w:r>
      <w:r w:rsidR="00651B31" w:rsidRPr="007E41D1">
        <w:rPr>
          <w:lang w:val="en-GB"/>
        </w:rPr>
        <w:t xml:space="preserve"> which we are publishing and circulating for input and feedback over the next four weeks. Once the four week period ends, the review process will close</w:t>
      </w:r>
      <w:r w:rsidR="007C529A" w:rsidRPr="007E41D1">
        <w:rPr>
          <w:lang w:val="en-GB"/>
        </w:rPr>
        <w:t>.</w:t>
      </w:r>
      <w:r w:rsidR="00651B31" w:rsidRPr="007E41D1">
        <w:rPr>
          <w:lang w:val="en-GB"/>
        </w:rPr>
        <w:t xml:space="preserve"> </w:t>
      </w:r>
      <w:r w:rsidR="007C529A" w:rsidRPr="007E41D1">
        <w:rPr>
          <w:lang w:val="en-GB"/>
        </w:rPr>
        <w:t>We will then review and incorporate feedback in order to</w:t>
      </w:r>
      <w:r w:rsidR="00651B31" w:rsidRPr="007E41D1">
        <w:rPr>
          <w:lang w:val="en-GB"/>
        </w:rPr>
        <w:t xml:space="preserve"> issue a new Aid Transparency Index Technical Paper</w:t>
      </w:r>
      <w:r w:rsidR="007C529A" w:rsidRPr="007E41D1">
        <w:rPr>
          <w:lang w:val="en-GB"/>
        </w:rPr>
        <w:t>.</w:t>
      </w:r>
      <w:r w:rsidR="00651B31" w:rsidRPr="007E41D1">
        <w:rPr>
          <w:lang w:val="en-GB"/>
        </w:rPr>
        <w:t xml:space="preserve"> </w:t>
      </w:r>
      <w:r w:rsidR="007C529A" w:rsidRPr="007E41D1">
        <w:rPr>
          <w:lang w:val="en-GB"/>
        </w:rPr>
        <w:t>This</w:t>
      </w:r>
      <w:r w:rsidR="00651B31" w:rsidRPr="007E41D1">
        <w:rPr>
          <w:lang w:val="en-GB"/>
        </w:rPr>
        <w:t xml:space="preserve"> </w:t>
      </w:r>
      <w:r w:rsidR="007C529A" w:rsidRPr="007E41D1">
        <w:rPr>
          <w:lang w:val="en-GB"/>
        </w:rPr>
        <w:t xml:space="preserve">new technical paper </w:t>
      </w:r>
      <w:r w:rsidR="00651B31" w:rsidRPr="007E41D1">
        <w:rPr>
          <w:lang w:val="en-GB"/>
        </w:rPr>
        <w:t>will be implemented in the 2022 Aid Transparency Index assessment.</w:t>
      </w:r>
    </w:p>
    <w:p w:rsidR="007C529A" w:rsidRPr="007E41D1" w:rsidRDefault="007C529A" w:rsidP="004C2382">
      <w:pPr>
        <w:rPr>
          <w:lang w:val="en-GB"/>
        </w:rPr>
      </w:pPr>
      <w:r w:rsidRPr="007E41D1">
        <w:rPr>
          <w:lang w:val="en-GB"/>
        </w:rPr>
        <w:t>We are grateful to all of those who have p</w:t>
      </w:r>
      <w:r w:rsidR="00A70907">
        <w:rPr>
          <w:lang w:val="en-GB"/>
        </w:rPr>
        <w:t>articipated in</w:t>
      </w:r>
      <w:r w:rsidRPr="007E41D1">
        <w:rPr>
          <w:lang w:val="en-GB"/>
        </w:rPr>
        <w:t xml:space="preserve"> this process so far, and appreciate any comments or feedback you may have on the proposals set out in this paper. </w:t>
      </w:r>
    </w:p>
    <w:p w:rsidR="007C529A" w:rsidRPr="007E41D1" w:rsidRDefault="007C529A" w:rsidP="004C2382">
      <w:pPr>
        <w:rPr>
          <w:lang w:val="en-GB"/>
        </w:rPr>
      </w:pPr>
    </w:p>
    <w:p w:rsidR="009A7A7F" w:rsidRPr="007E41D1" w:rsidRDefault="009A7A7F" w:rsidP="00512B55">
      <w:pPr>
        <w:rPr>
          <w:lang w:val="en-GB"/>
        </w:rPr>
      </w:pPr>
    </w:p>
    <w:p w:rsidR="009A7A7F" w:rsidRPr="007E41D1" w:rsidRDefault="009A7A7F" w:rsidP="00512B55">
      <w:pPr>
        <w:rPr>
          <w:lang w:val="en-GB"/>
        </w:rPr>
      </w:pPr>
    </w:p>
    <w:p w:rsidR="00512B55" w:rsidRPr="007E41D1" w:rsidRDefault="00512B55" w:rsidP="00564AF4">
      <w:pPr>
        <w:pStyle w:val="Heading1"/>
        <w:rPr>
          <w:lang w:val="en-GB"/>
        </w:rPr>
      </w:pPr>
    </w:p>
    <w:p w:rsidR="009B4FBA" w:rsidRPr="007E41D1" w:rsidRDefault="009B4FBA">
      <w:pPr>
        <w:rPr>
          <w:rFonts w:asciiTheme="majorHAnsi" w:eastAsiaTheme="majorEastAsia" w:hAnsiTheme="majorHAnsi" w:cstheme="majorBidi"/>
          <w:color w:val="2E74B5" w:themeColor="accent1" w:themeShade="BF"/>
          <w:sz w:val="32"/>
          <w:szCs w:val="32"/>
          <w:lang w:val="en-GB"/>
        </w:rPr>
      </w:pPr>
      <w:r w:rsidRPr="007E41D1">
        <w:rPr>
          <w:lang w:val="en-GB"/>
        </w:rPr>
        <w:br w:type="page"/>
      </w:r>
    </w:p>
    <w:p w:rsidR="00FE4FFA" w:rsidRPr="007E41D1" w:rsidRDefault="00FE4FFA" w:rsidP="00564AF4">
      <w:pPr>
        <w:pStyle w:val="Heading1"/>
        <w:rPr>
          <w:lang w:val="en-GB"/>
        </w:rPr>
      </w:pPr>
      <w:bookmarkStart w:id="2" w:name="_Toc65502291"/>
      <w:bookmarkStart w:id="3" w:name="_Toc66108860"/>
      <w:r w:rsidRPr="007E41D1">
        <w:rPr>
          <w:lang w:val="en-GB"/>
        </w:rPr>
        <w:t>Networked data</w:t>
      </w:r>
      <w:bookmarkEnd w:id="2"/>
      <w:bookmarkEnd w:id="3"/>
    </w:p>
    <w:p w:rsidR="00F64815" w:rsidRPr="007E41D1" w:rsidRDefault="00F64815" w:rsidP="00FE4FFA">
      <w:pPr>
        <w:rPr>
          <w:lang w:val="en-GB"/>
        </w:rPr>
      </w:pPr>
      <w:r w:rsidRPr="007E41D1">
        <w:rPr>
          <w:lang w:val="en-GB"/>
        </w:rPr>
        <w:t xml:space="preserve">An important aspect of international aid delivery is the network of organisations </w:t>
      </w:r>
      <w:r w:rsidR="007C529A" w:rsidRPr="007E41D1">
        <w:rPr>
          <w:lang w:val="en-GB"/>
        </w:rPr>
        <w:t>that</w:t>
      </w:r>
      <w:r w:rsidRPr="007E41D1">
        <w:rPr>
          <w:lang w:val="en-GB"/>
        </w:rPr>
        <w:t xml:space="preserve"> channel aid money to development and humanitarian projects. This network involves delivery chains</w:t>
      </w:r>
      <w:r w:rsidR="007C529A" w:rsidRPr="007E41D1">
        <w:rPr>
          <w:lang w:val="en-GB"/>
        </w:rPr>
        <w:t>. These include vertical links,</w:t>
      </w:r>
      <w:r w:rsidRPr="007E41D1">
        <w:rPr>
          <w:lang w:val="en-GB"/>
        </w:rPr>
        <w:t xml:space="preserve"> </w:t>
      </w:r>
      <w:r w:rsidR="007C529A" w:rsidRPr="007E41D1">
        <w:rPr>
          <w:lang w:val="en-GB"/>
        </w:rPr>
        <w:t>when</w:t>
      </w:r>
      <w:r w:rsidRPr="007E41D1">
        <w:rPr>
          <w:lang w:val="en-GB"/>
        </w:rPr>
        <w:t xml:space="preserve"> aid is dis</w:t>
      </w:r>
      <w:r w:rsidR="00AC4032">
        <w:rPr>
          <w:lang w:val="en-GB"/>
        </w:rPr>
        <w:t>pe</w:t>
      </w:r>
      <w:r w:rsidRPr="007E41D1">
        <w:rPr>
          <w:lang w:val="en-GB"/>
        </w:rPr>
        <w:t xml:space="preserve">rsed by donors </w:t>
      </w:r>
      <w:r w:rsidR="007C529A" w:rsidRPr="007E41D1">
        <w:rPr>
          <w:lang w:val="en-GB"/>
        </w:rPr>
        <w:t xml:space="preserve">downstream </w:t>
      </w:r>
      <w:r w:rsidRPr="007E41D1">
        <w:rPr>
          <w:lang w:val="en-GB"/>
        </w:rPr>
        <w:t xml:space="preserve">to organisations that then sub-grant to implementing partners, as well </w:t>
      </w:r>
      <w:r w:rsidR="00D668BB">
        <w:rPr>
          <w:lang w:val="en-GB"/>
        </w:rPr>
        <w:t xml:space="preserve">as </w:t>
      </w:r>
      <w:r w:rsidR="007C529A" w:rsidRPr="007E41D1">
        <w:rPr>
          <w:lang w:val="en-GB"/>
        </w:rPr>
        <w:t>horizontal links – when organisations come together in</w:t>
      </w:r>
      <w:r w:rsidRPr="007E41D1">
        <w:rPr>
          <w:lang w:val="en-GB"/>
        </w:rPr>
        <w:t xml:space="preserve"> consortiums</w:t>
      </w:r>
      <w:r w:rsidR="007C529A" w:rsidRPr="007E41D1">
        <w:rPr>
          <w:lang w:val="en-GB"/>
        </w:rPr>
        <w:t xml:space="preserve"> and</w:t>
      </w:r>
      <w:r w:rsidRPr="007E41D1">
        <w:rPr>
          <w:lang w:val="en-GB"/>
        </w:rPr>
        <w:t xml:space="preserve"> co-funding arrangements. Some organisations assessed in the Aid Transparency Index receive aid funds as well as disburs</w:t>
      </w:r>
      <w:r w:rsidR="00AC4032">
        <w:rPr>
          <w:lang w:val="en-GB"/>
        </w:rPr>
        <w:t>e</w:t>
      </w:r>
      <w:r w:rsidRPr="007E41D1">
        <w:rPr>
          <w:lang w:val="en-GB"/>
        </w:rPr>
        <w:t xml:space="preserve"> funds to partners</w:t>
      </w:r>
      <w:r w:rsidR="007C529A" w:rsidRPr="007E41D1">
        <w:rPr>
          <w:lang w:val="en-GB"/>
        </w:rPr>
        <w:t>, functioning as intermediate points in vertical chains</w:t>
      </w:r>
      <w:r w:rsidRPr="007E41D1">
        <w:rPr>
          <w:lang w:val="en-GB"/>
        </w:rPr>
        <w:t>.</w:t>
      </w:r>
      <w:r w:rsidR="00F175DE" w:rsidRPr="007E41D1">
        <w:rPr>
          <w:lang w:val="en-GB"/>
        </w:rPr>
        <w:t xml:space="preserve"> Being able to map these networks is an important element of understanding how aid is delivered, which actors are involved and how </w:t>
      </w:r>
      <w:r w:rsidR="005942D1" w:rsidRPr="007E41D1">
        <w:rPr>
          <w:lang w:val="en-GB"/>
        </w:rPr>
        <w:t>these relate to one another</w:t>
      </w:r>
      <w:r w:rsidR="00F175DE" w:rsidRPr="007E41D1">
        <w:rPr>
          <w:lang w:val="en-GB"/>
        </w:rPr>
        <w:t>.</w:t>
      </w:r>
    </w:p>
    <w:p w:rsidR="00483CB3" w:rsidRDefault="00F175DE" w:rsidP="00FE4FFA">
      <w:pPr>
        <w:rPr>
          <w:lang w:val="en-GB"/>
        </w:rPr>
      </w:pPr>
      <w:r w:rsidRPr="007E41D1">
        <w:rPr>
          <w:lang w:val="en-GB"/>
        </w:rPr>
        <w:t>For these rea</w:t>
      </w:r>
      <w:r w:rsidR="005942D1" w:rsidRPr="007E41D1">
        <w:rPr>
          <w:lang w:val="en-GB"/>
        </w:rPr>
        <w:t xml:space="preserve">sons we are proposing to add a </w:t>
      </w:r>
      <w:r w:rsidRPr="007E41D1">
        <w:rPr>
          <w:b/>
          <w:lang w:val="en-GB"/>
        </w:rPr>
        <w:t>Networked data</w:t>
      </w:r>
      <w:r w:rsidRPr="007E41D1">
        <w:rPr>
          <w:lang w:val="en-GB"/>
        </w:rPr>
        <w:t xml:space="preserve"> indicator to the Index. The indicator will assess how </w:t>
      </w:r>
      <w:r w:rsidR="00483CB3">
        <w:rPr>
          <w:lang w:val="en-GB"/>
        </w:rPr>
        <w:t>publishers</w:t>
      </w:r>
      <w:r w:rsidRPr="007E41D1">
        <w:rPr>
          <w:lang w:val="en-GB"/>
        </w:rPr>
        <w:t xml:space="preserve"> are publishing information about other </w:t>
      </w:r>
      <w:r w:rsidR="00483CB3">
        <w:rPr>
          <w:lang w:val="en-GB"/>
        </w:rPr>
        <w:t xml:space="preserve">participating </w:t>
      </w:r>
      <w:r w:rsidRPr="007E41D1">
        <w:rPr>
          <w:lang w:val="en-GB"/>
        </w:rPr>
        <w:t xml:space="preserve">organisations in their aid delivery chains. It will assess the quality and standardisation of this information. </w:t>
      </w:r>
    </w:p>
    <w:p w:rsidR="00F175DE" w:rsidRPr="007E41D1" w:rsidRDefault="005942D1" w:rsidP="00FE4FFA">
      <w:pPr>
        <w:rPr>
          <w:lang w:val="en-GB"/>
        </w:rPr>
      </w:pPr>
      <w:r w:rsidRPr="007E41D1">
        <w:rPr>
          <w:lang w:val="en-GB"/>
        </w:rPr>
        <w:t>T</w:t>
      </w:r>
      <w:r w:rsidR="00F175DE" w:rsidRPr="007E41D1">
        <w:rPr>
          <w:lang w:val="en-GB"/>
        </w:rPr>
        <w:t xml:space="preserve">here are ways to carry out more specific networking of </w:t>
      </w:r>
      <w:r w:rsidRPr="007E41D1">
        <w:rPr>
          <w:lang w:val="en-GB"/>
        </w:rPr>
        <w:t>activities</w:t>
      </w:r>
      <w:r w:rsidR="00F175DE" w:rsidRPr="007E41D1">
        <w:rPr>
          <w:lang w:val="en-GB"/>
        </w:rPr>
        <w:t xml:space="preserve"> using the IATI Standard</w:t>
      </w:r>
      <w:r w:rsidRPr="007E41D1">
        <w:rPr>
          <w:lang w:val="en-GB"/>
        </w:rPr>
        <w:t>.</w:t>
      </w:r>
      <w:r w:rsidR="00F175DE" w:rsidRPr="007E41D1">
        <w:rPr>
          <w:lang w:val="en-GB"/>
        </w:rPr>
        <w:t xml:space="preserve"> </w:t>
      </w:r>
      <w:r w:rsidRPr="007E41D1">
        <w:rPr>
          <w:lang w:val="en-GB"/>
        </w:rPr>
        <w:t>F</w:t>
      </w:r>
      <w:r w:rsidR="00F175DE" w:rsidRPr="007E41D1">
        <w:rPr>
          <w:lang w:val="en-GB"/>
        </w:rPr>
        <w:t>or example</w:t>
      </w:r>
      <w:r w:rsidRPr="007E41D1">
        <w:rPr>
          <w:lang w:val="en-GB"/>
        </w:rPr>
        <w:t>, activities can be</w:t>
      </w:r>
      <w:r w:rsidR="00F175DE" w:rsidRPr="007E41D1">
        <w:rPr>
          <w:lang w:val="en-GB"/>
        </w:rPr>
        <w:t xml:space="preserve"> link</w:t>
      </w:r>
      <w:r w:rsidRPr="007E41D1">
        <w:rPr>
          <w:lang w:val="en-GB"/>
        </w:rPr>
        <w:t>ed</w:t>
      </w:r>
      <w:r w:rsidR="00F175DE" w:rsidRPr="007E41D1">
        <w:rPr>
          <w:lang w:val="en-GB"/>
        </w:rPr>
        <w:t xml:space="preserve"> </w:t>
      </w:r>
      <w:r w:rsidR="00483CB3">
        <w:rPr>
          <w:lang w:val="en-GB"/>
        </w:rPr>
        <w:t xml:space="preserve">together </w:t>
      </w:r>
      <w:r w:rsidR="00F175DE" w:rsidRPr="007E41D1">
        <w:rPr>
          <w:lang w:val="en-GB"/>
        </w:rPr>
        <w:t>through transactions</w:t>
      </w:r>
      <w:r w:rsidRPr="007E41D1">
        <w:rPr>
          <w:lang w:val="en-GB"/>
        </w:rPr>
        <w:t>. However,</w:t>
      </w:r>
      <w:r w:rsidR="00F175DE" w:rsidRPr="007E41D1">
        <w:rPr>
          <w:lang w:val="en-GB"/>
        </w:rPr>
        <w:t xml:space="preserve"> use of these features is still incipient, and so we will not be assessing this type of networking in the 2022 Index. </w:t>
      </w:r>
    </w:p>
    <w:p w:rsidR="00E5332B" w:rsidRPr="007E41D1" w:rsidRDefault="00E5332B" w:rsidP="00E5332B">
      <w:pPr>
        <w:pStyle w:val="Heading2"/>
        <w:rPr>
          <w:lang w:val="en-GB"/>
        </w:rPr>
      </w:pPr>
      <w:bookmarkStart w:id="4" w:name="_Toc66108861"/>
      <w:r w:rsidRPr="007E41D1">
        <w:rPr>
          <w:lang w:val="en-GB"/>
        </w:rPr>
        <w:t>Proposed indicator</w:t>
      </w:r>
      <w:bookmarkEnd w:id="4"/>
    </w:p>
    <w:p w:rsidR="00FF53B2" w:rsidRPr="007E41D1" w:rsidRDefault="00E5332B" w:rsidP="00E5332B">
      <w:pPr>
        <w:rPr>
          <w:lang w:val="en-GB"/>
        </w:rPr>
      </w:pPr>
      <w:r w:rsidRPr="007E41D1">
        <w:rPr>
          <w:lang w:val="en-GB"/>
        </w:rPr>
        <w:t xml:space="preserve">The </w:t>
      </w:r>
      <w:r w:rsidRPr="007E41D1">
        <w:rPr>
          <w:b/>
          <w:lang w:val="en-GB"/>
        </w:rPr>
        <w:t>Networked data</w:t>
      </w:r>
      <w:r w:rsidRPr="007E41D1">
        <w:rPr>
          <w:lang w:val="en-GB"/>
        </w:rPr>
        <w:t xml:space="preserve"> indicator will assess the publication of information about participating organisations in activities.</w:t>
      </w:r>
      <w:r w:rsidR="00583F49" w:rsidRPr="007E41D1">
        <w:rPr>
          <w:lang w:val="en-GB"/>
        </w:rPr>
        <w:t xml:space="preserve"> </w:t>
      </w:r>
      <w:r w:rsidR="00FF53B2" w:rsidRPr="007E41D1">
        <w:rPr>
          <w:lang w:val="en-GB"/>
        </w:rPr>
        <w:t xml:space="preserve">For IATI data, the indicator will assess the quantity and quality of data published in the </w:t>
      </w:r>
      <w:hyperlink r:id="rId9" w:history="1">
        <w:r w:rsidR="00FF53B2" w:rsidRPr="007E41D1">
          <w:rPr>
            <w:rStyle w:val="Hyperlink"/>
            <w:lang w:val="en-GB"/>
          </w:rPr>
          <w:t>Participating org</w:t>
        </w:r>
      </w:hyperlink>
      <w:r w:rsidR="00FF53B2" w:rsidRPr="007E41D1">
        <w:rPr>
          <w:lang w:val="en-GB"/>
        </w:rPr>
        <w:t xml:space="preserve"> element of the activity standard. </w:t>
      </w:r>
      <w:r w:rsidR="00583F49" w:rsidRPr="007E41D1">
        <w:rPr>
          <w:lang w:val="en-GB"/>
        </w:rPr>
        <w:t xml:space="preserve">There is already an index indicator that assesses participating organisation data – the </w:t>
      </w:r>
      <w:r w:rsidR="00583F49" w:rsidRPr="007E41D1">
        <w:rPr>
          <w:b/>
          <w:lang w:val="en-GB"/>
        </w:rPr>
        <w:t>Implementer</w:t>
      </w:r>
      <w:r w:rsidR="00583F49" w:rsidRPr="007E41D1">
        <w:rPr>
          <w:lang w:val="en-GB"/>
        </w:rPr>
        <w:t xml:space="preserve"> indicator – and this will be </w:t>
      </w:r>
      <w:r w:rsidR="00767C2B" w:rsidRPr="007E41D1">
        <w:rPr>
          <w:lang w:val="en-GB"/>
        </w:rPr>
        <w:t xml:space="preserve">enhanced and </w:t>
      </w:r>
      <w:r w:rsidR="00583F49" w:rsidRPr="007E41D1">
        <w:rPr>
          <w:lang w:val="en-GB"/>
        </w:rPr>
        <w:t xml:space="preserve">incorporated into the </w:t>
      </w:r>
      <w:r w:rsidR="00583F49" w:rsidRPr="007E41D1">
        <w:rPr>
          <w:b/>
          <w:lang w:val="en-GB"/>
        </w:rPr>
        <w:t>Networked data</w:t>
      </w:r>
      <w:r w:rsidR="00583F49" w:rsidRPr="007E41D1">
        <w:rPr>
          <w:lang w:val="en-GB"/>
        </w:rPr>
        <w:t xml:space="preserve"> indicator. </w:t>
      </w:r>
      <w:r w:rsidR="00FF53B2" w:rsidRPr="007E41D1">
        <w:rPr>
          <w:lang w:val="en-GB"/>
        </w:rPr>
        <w:t xml:space="preserve">The new indicator will be part of the </w:t>
      </w:r>
      <w:r w:rsidR="00FF53B2" w:rsidRPr="007E41D1">
        <w:rPr>
          <w:b/>
          <w:lang w:val="en-GB"/>
        </w:rPr>
        <w:t>Joining-up development data</w:t>
      </w:r>
      <w:r w:rsidR="00FF53B2" w:rsidRPr="007E41D1">
        <w:rPr>
          <w:lang w:val="en-GB"/>
        </w:rPr>
        <w:t xml:space="preserve"> component.</w:t>
      </w:r>
    </w:p>
    <w:p w:rsidR="00FF53B2" w:rsidRPr="007E41D1" w:rsidRDefault="00FF53B2" w:rsidP="00E5332B">
      <w:pPr>
        <w:rPr>
          <w:lang w:val="en-GB"/>
        </w:rPr>
      </w:pPr>
      <w:r w:rsidRPr="007E41D1">
        <w:rPr>
          <w:lang w:val="en-GB"/>
        </w:rPr>
        <w:t xml:space="preserve">Incorporating the </w:t>
      </w:r>
      <w:r w:rsidRPr="007E41D1">
        <w:rPr>
          <w:b/>
          <w:lang w:val="en-GB"/>
        </w:rPr>
        <w:t>Implementer</w:t>
      </w:r>
      <w:r w:rsidRPr="007E41D1">
        <w:rPr>
          <w:lang w:val="en-GB"/>
        </w:rPr>
        <w:t xml:space="preserve"> indicator, the </w:t>
      </w:r>
      <w:r w:rsidRPr="007E41D1">
        <w:rPr>
          <w:b/>
          <w:lang w:val="en-GB"/>
        </w:rPr>
        <w:t>Networked data</w:t>
      </w:r>
      <w:r w:rsidRPr="007E41D1">
        <w:rPr>
          <w:lang w:val="en-GB"/>
        </w:rPr>
        <w:t xml:space="preserve"> indicator will be a two-part test.  The first part will be the</w:t>
      </w:r>
      <w:r w:rsidR="00767C2B" w:rsidRPr="007E41D1">
        <w:rPr>
          <w:lang w:val="en-GB"/>
        </w:rPr>
        <w:t xml:space="preserve"> enhanced</w:t>
      </w:r>
      <w:r w:rsidRPr="007E41D1">
        <w:rPr>
          <w:lang w:val="en-GB"/>
        </w:rPr>
        <w:t xml:space="preserve"> </w:t>
      </w:r>
      <w:r w:rsidRPr="007E41D1">
        <w:rPr>
          <w:b/>
          <w:lang w:val="en-GB"/>
        </w:rPr>
        <w:t xml:space="preserve">Implementer </w:t>
      </w:r>
      <w:r w:rsidRPr="007E41D1">
        <w:rPr>
          <w:lang w:val="en-GB"/>
        </w:rPr>
        <w:t xml:space="preserve">indicator, testing the extent to which </w:t>
      </w:r>
      <w:r w:rsidR="00483CB3">
        <w:rPr>
          <w:lang w:val="en-GB"/>
        </w:rPr>
        <w:t>organisations</w:t>
      </w:r>
      <w:r w:rsidRPr="007E41D1">
        <w:rPr>
          <w:lang w:val="en-GB"/>
        </w:rPr>
        <w:t xml:space="preserve"> are publishing information about implementing partners in their activity data.  The second part of the test will assess the use of organisation references for </w:t>
      </w:r>
      <w:r w:rsidR="00483CB3">
        <w:rPr>
          <w:lang w:val="en-GB"/>
        </w:rPr>
        <w:t xml:space="preserve">all </w:t>
      </w:r>
      <w:r w:rsidRPr="007E41D1">
        <w:rPr>
          <w:lang w:val="en-GB"/>
        </w:rPr>
        <w:t>participating organisations</w:t>
      </w:r>
      <w:r w:rsidR="002F7B66">
        <w:rPr>
          <w:lang w:val="en-GB"/>
        </w:rPr>
        <w:t xml:space="preserve"> </w:t>
      </w:r>
      <w:r w:rsidR="002F7B66" w:rsidRPr="007E41D1">
        <w:rPr>
          <w:lang w:val="en-GB"/>
        </w:rPr>
        <w:t>(Funding, Accountable, Extending and Implementing)</w:t>
      </w:r>
      <w:r w:rsidRPr="007E41D1">
        <w:rPr>
          <w:lang w:val="en-GB"/>
        </w:rPr>
        <w:t xml:space="preserve">.  </w:t>
      </w:r>
      <w:r w:rsidR="000E1D69">
        <w:rPr>
          <w:lang w:val="en-GB"/>
        </w:rPr>
        <w:t>We will review</w:t>
      </w:r>
      <w:r w:rsidR="000E1D69" w:rsidRPr="000E1D69">
        <w:rPr>
          <w:lang w:val="en-GB"/>
        </w:rPr>
        <w:t xml:space="preserve"> whether and how </w:t>
      </w:r>
      <w:r w:rsidR="000E1D69">
        <w:rPr>
          <w:lang w:val="en-GB"/>
        </w:rPr>
        <w:t xml:space="preserve">references are being used to refer to participating organisations. This </w:t>
      </w:r>
      <w:r w:rsidR="000E1D69" w:rsidRPr="000E1D69">
        <w:rPr>
          <w:lang w:val="en-GB"/>
        </w:rPr>
        <w:t xml:space="preserve">will help to </w:t>
      </w:r>
      <w:r w:rsidR="000E1D69">
        <w:rPr>
          <w:lang w:val="en-GB"/>
        </w:rPr>
        <w:t>build</w:t>
      </w:r>
      <w:r w:rsidR="000E1D69" w:rsidRPr="000E1D69">
        <w:rPr>
          <w:lang w:val="en-GB"/>
        </w:rPr>
        <w:t xml:space="preserve"> a common understanding and standard approach to referencing organisations in the IATI data.</w:t>
      </w:r>
      <w:r w:rsidR="000E1D69">
        <w:rPr>
          <w:lang w:val="en-GB"/>
        </w:rPr>
        <w:t xml:space="preserve"> Providing feedback to publishers assessed in the Index will help them to improve the way they reference other organisations, which can</w:t>
      </w:r>
      <w:r w:rsidRPr="007E41D1">
        <w:rPr>
          <w:lang w:val="en-GB"/>
        </w:rPr>
        <w:t xml:space="preserve"> facilitate mapping and networking of data.</w:t>
      </w:r>
    </w:p>
    <w:p w:rsidR="00FF53B2" w:rsidRPr="007E41D1" w:rsidRDefault="00D65F9E" w:rsidP="00E5332B">
      <w:pPr>
        <w:rPr>
          <w:b/>
          <w:u w:val="single"/>
          <w:lang w:val="en-GB"/>
        </w:rPr>
      </w:pPr>
      <w:r w:rsidRPr="007E41D1">
        <w:rPr>
          <w:b/>
          <w:u w:val="single"/>
          <w:lang w:val="en-GB"/>
        </w:rPr>
        <w:t>Definitions and tests</w:t>
      </w:r>
    </w:p>
    <w:p w:rsidR="00FF53B2" w:rsidRPr="007E41D1" w:rsidRDefault="00FF53B2" w:rsidP="00E5332B">
      <w:pPr>
        <w:rPr>
          <w:i/>
          <w:lang w:val="en-GB"/>
        </w:rPr>
      </w:pPr>
      <w:r w:rsidRPr="007E41D1">
        <w:rPr>
          <w:i/>
          <w:lang w:val="en-GB"/>
        </w:rPr>
        <w:t xml:space="preserve">Part 1: Implementer </w:t>
      </w:r>
    </w:p>
    <w:p w:rsidR="00767C2B" w:rsidRPr="007E41D1" w:rsidRDefault="00767C2B" w:rsidP="00E5332B">
      <w:pPr>
        <w:rPr>
          <w:b/>
          <w:i/>
          <w:lang w:val="en-GB"/>
        </w:rPr>
      </w:pPr>
      <w:r w:rsidRPr="007E41D1">
        <w:rPr>
          <w:b/>
          <w:i/>
          <w:lang w:val="en-GB"/>
        </w:rPr>
        <w:t xml:space="preserve">This test will be enhanced to require the name </w:t>
      </w:r>
      <w:r w:rsidR="005942D1" w:rsidRPr="007E41D1">
        <w:rPr>
          <w:b/>
          <w:i/>
          <w:lang w:val="en-GB"/>
        </w:rPr>
        <w:t xml:space="preserve">or reference </w:t>
      </w:r>
      <w:r w:rsidRPr="007E41D1">
        <w:rPr>
          <w:b/>
          <w:i/>
          <w:lang w:val="en-GB"/>
        </w:rPr>
        <w:t>of the organisation to be included as well as the role.</w:t>
      </w:r>
    </w:p>
    <w:p w:rsidR="00D65F9E" w:rsidRPr="007E41D1" w:rsidRDefault="00D65F9E" w:rsidP="00E5332B">
      <w:pPr>
        <w:rPr>
          <w:b/>
          <w:lang w:val="en-GB"/>
        </w:rPr>
      </w:pPr>
      <w:r w:rsidRPr="007E41D1">
        <w:rPr>
          <w:b/>
          <w:lang w:val="en-GB"/>
        </w:rPr>
        <w:t xml:space="preserve">Survey question: </w:t>
      </w:r>
    </w:p>
    <w:p w:rsidR="00767C2B" w:rsidRPr="007E41D1" w:rsidRDefault="00767C2B" w:rsidP="00E5332B">
      <w:pPr>
        <w:rPr>
          <w:lang w:val="en-GB"/>
        </w:rPr>
      </w:pPr>
      <w:r w:rsidRPr="007E41D1">
        <w:rPr>
          <w:lang w:val="en-GB"/>
        </w:rPr>
        <w:t xml:space="preserve">Does this organisation publish which organisation implements the activity? </w:t>
      </w:r>
    </w:p>
    <w:p w:rsidR="00D65F9E" w:rsidRPr="007E41D1" w:rsidRDefault="00D65F9E" w:rsidP="00E5332B">
      <w:pPr>
        <w:rPr>
          <w:b/>
          <w:lang w:val="en-GB"/>
        </w:rPr>
      </w:pPr>
      <w:r w:rsidRPr="007E41D1">
        <w:rPr>
          <w:b/>
          <w:lang w:val="en-GB"/>
        </w:rPr>
        <w:t>Definition:</w:t>
      </w:r>
    </w:p>
    <w:p w:rsidR="00767C2B" w:rsidRPr="007E41D1" w:rsidRDefault="00767C2B" w:rsidP="00E5332B">
      <w:pPr>
        <w:rPr>
          <w:lang w:val="en-GB"/>
        </w:rPr>
      </w:pPr>
      <w:r w:rsidRPr="007E41D1">
        <w:rPr>
          <w:lang w:val="en-GB"/>
        </w:rPr>
        <w:t>The implementer of the activity is the organisation that is principally responsible for delivering it. The IATI reference for this indicator is: Implementing organisation (participating-org role = implementing).</w:t>
      </w:r>
    </w:p>
    <w:p w:rsidR="00D65F9E" w:rsidRPr="007E41D1" w:rsidRDefault="00D65F9E" w:rsidP="00E5332B">
      <w:pPr>
        <w:rPr>
          <w:b/>
          <w:lang w:val="en-GB"/>
        </w:rPr>
      </w:pPr>
      <w:r w:rsidRPr="007E41D1">
        <w:rPr>
          <w:b/>
          <w:lang w:val="en-GB"/>
        </w:rPr>
        <w:t>Test:</w:t>
      </w:r>
    </w:p>
    <w:p w:rsidR="00767C2B" w:rsidRPr="007E41D1" w:rsidRDefault="00767C2B" w:rsidP="00E5332B">
      <w:pPr>
        <w:rPr>
          <w:lang w:val="en-GB"/>
        </w:rPr>
      </w:pPr>
      <w:r w:rsidRPr="007E41D1">
        <w:rPr>
          <w:lang w:val="en-GB"/>
        </w:rPr>
        <w:t xml:space="preserve">For each current activity, if `activity-status/@code` is one of (2, 3, 4) then participating-org[@role="4"] should be present </w:t>
      </w:r>
      <w:r w:rsidR="00AC749E" w:rsidRPr="00CA5DD3">
        <w:rPr>
          <w:color w:val="FF0000"/>
          <w:lang w:val="en-GB"/>
        </w:rPr>
        <w:t xml:space="preserve">with the </w:t>
      </w:r>
      <w:r w:rsidRPr="00CA5DD3">
        <w:rPr>
          <w:color w:val="FF0000"/>
          <w:lang w:val="en-GB"/>
        </w:rPr>
        <w:t xml:space="preserve">narrative child element or reference (@ref) </w:t>
      </w:r>
    </w:p>
    <w:p w:rsidR="00AC749E" w:rsidRPr="007E41D1" w:rsidRDefault="00AC749E" w:rsidP="00E5332B">
      <w:pPr>
        <w:rPr>
          <w:i/>
          <w:lang w:val="en-GB"/>
        </w:rPr>
      </w:pPr>
      <w:r w:rsidRPr="007E41D1">
        <w:rPr>
          <w:i/>
          <w:lang w:val="en-GB"/>
        </w:rPr>
        <w:t xml:space="preserve">Part 2: </w:t>
      </w:r>
      <w:r w:rsidR="00975D32" w:rsidRPr="007E41D1">
        <w:rPr>
          <w:i/>
          <w:lang w:val="en-GB"/>
        </w:rPr>
        <w:t>O</w:t>
      </w:r>
      <w:r w:rsidRPr="007E41D1">
        <w:rPr>
          <w:i/>
          <w:lang w:val="en-GB"/>
        </w:rPr>
        <w:t>rganisation references</w:t>
      </w:r>
    </w:p>
    <w:p w:rsidR="00B0127F" w:rsidRPr="007E41D1" w:rsidRDefault="001D6AD5" w:rsidP="00E5332B">
      <w:pPr>
        <w:rPr>
          <w:b/>
          <w:i/>
          <w:lang w:val="en-GB"/>
        </w:rPr>
      </w:pPr>
      <w:r w:rsidRPr="007E41D1">
        <w:rPr>
          <w:b/>
          <w:i/>
          <w:lang w:val="en-GB"/>
        </w:rPr>
        <w:t xml:space="preserve">This test will check organisation references </w:t>
      </w:r>
      <w:r w:rsidR="00231558">
        <w:rPr>
          <w:b/>
          <w:i/>
          <w:lang w:val="en-GB"/>
        </w:rPr>
        <w:t xml:space="preserve">against the </w:t>
      </w:r>
      <w:hyperlink r:id="rId10" w:history="1">
        <w:r w:rsidR="00231558" w:rsidRPr="00231558">
          <w:rPr>
            <w:rStyle w:val="Hyperlink"/>
            <w:b/>
            <w:i/>
            <w:lang w:val="en-GB"/>
          </w:rPr>
          <w:t>list of valid prefixes</w:t>
        </w:r>
      </w:hyperlink>
      <w:r w:rsidR="00231558">
        <w:rPr>
          <w:b/>
          <w:i/>
          <w:lang w:val="en-GB"/>
        </w:rPr>
        <w:t xml:space="preserve"> for IATI organisation </w:t>
      </w:r>
      <w:r w:rsidR="00AD4991">
        <w:rPr>
          <w:b/>
          <w:i/>
          <w:lang w:val="en-GB"/>
        </w:rPr>
        <w:t>reference</w:t>
      </w:r>
      <w:r w:rsidR="00231558">
        <w:rPr>
          <w:b/>
          <w:i/>
          <w:lang w:val="en-GB"/>
        </w:rPr>
        <w:t>s, as well as the</w:t>
      </w:r>
      <w:r w:rsidRPr="007E41D1">
        <w:rPr>
          <w:b/>
          <w:i/>
          <w:lang w:val="en-GB"/>
        </w:rPr>
        <w:t xml:space="preserve"> </w:t>
      </w:r>
      <w:hyperlink r:id="rId11" w:history="1">
        <w:r w:rsidR="00231558">
          <w:rPr>
            <w:rStyle w:val="Hyperlink"/>
            <w:b/>
            <w:i/>
            <w:lang w:val="en-GB"/>
          </w:rPr>
          <w:t xml:space="preserve">IATI publisher </w:t>
        </w:r>
        <w:r w:rsidR="00231558" w:rsidRPr="00231558">
          <w:rPr>
            <w:rStyle w:val="Hyperlink"/>
            <w:b/>
            <w:i/>
            <w:lang w:val="en-GB"/>
          </w:rPr>
          <w:t>list</w:t>
        </w:r>
      </w:hyperlink>
      <w:r w:rsidRPr="007E41D1">
        <w:rPr>
          <w:b/>
          <w:i/>
          <w:lang w:val="en-GB"/>
        </w:rPr>
        <w:t>.</w:t>
      </w:r>
      <w:r w:rsidR="00B0127F">
        <w:rPr>
          <w:b/>
          <w:i/>
          <w:lang w:val="en-GB"/>
        </w:rPr>
        <w:t xml:space="preserve"> </w:t>
      </w:r>
      <w:r w:rsidR="00AD4991">
        <w:rPr>
          <w:b/>
          <w:i/>
          <w:lang w:val="en-GB"/>
        </w:rPr>
        <w:t xml:space="preserve">Organisations that use </w:t>
      </w:r>
      <w:r w:rsidR="006439C5">
        <w:rPr>
          <w:b/>
          <w:i/>
          <w:lang w:val="en-GB"/>
        </w:rPr>
        <w:t>OECD DAC CRS</w:t>
      </w:r>
      <w:r w:rsidR="00B0127F">
        <w:rPr>
          <w:b/>
          <w:i/>
          <w:lang w:val="en-GB"/>
        </w:rPr>
        <w:t xml:space="preserve"> channel codes </w:t>
      </w:r>
      <w:r w:rsidR="00AD4991">
        <w:rPr>
          <w:b/>
          <w:i/>
          <w:lang w:val="en-GB"/>
        </w:rPr>
        <w:t>to refer to organisations should use the</w:t>
      </w:r>
      <w:r w:rsidR="00B0127F">
        <w:rPr>
          <w:b/>
          <w:i/>
          <w:lang w:val="en-GB"/>
        </w:rPr>
        <w:t xml:space="preserve"> XM-DAC- prefix </w:t>
      </w:r>
      <w:r w:rsidR="00AD4991">
        <w:rPr>
          <w:b/>
          <w:i/>
          <w:lang w:val="en-GB"/>
        </w:rPr>
        <w:t>to identify that they are channel codes and distinguish them from other numerical references</w:t>
      </w:r>
      <w:r w:rsidR="00B0127F">
        <w:rPr>
          <w:b/>
          <w:i/>
          <w:lang w:val="en-GB"/>
        </w:rPr>
        <w:t>.</w:t>
      </w:r>
    </w:p>
    <w:p w:rsidR="00D65F9E" w:rsidRPr="007E41D1" w:rsidRDefault="00D65F9E" w:rsidP="00D65F9E">
      <w:pPr>
        <w:rPr>
          <w:b/>
          <w:lang w:val="en-GB"/>
        </w:rPr>
      </w:pPr>
      <w:r w:rsidRPr="007E41D1">
        <w:rPr>
          <w:b/>
          <w:lang w:val="en-GB"/>
        </w:rPr>
        <w:t xml:space="preserve">Survey question: </w:t>
      </w:r>
    </w:p>
    <w:p w:rsidR="00AC749E" w:rsidRPr="007E41D1" w:rsidRDefault="00975D32" w:rsidP="00E5332B">
      <w:pPr>
        <w:rPr>
          <w:lang w:val="en-GB"/>
        </w:rPr>
      </w:pPr>
      <w:r w:rsidRPr="007E41D1">
        <w:rPr>
          <w:lang w:val="en-GB"/>
        </w:rPr>
        <w:t>Does this organisation use commonly accepted references for its participating organisations?</w:t>
      </w:r>
    </w:p>
    <w:p w:rsidR="00D65F9E" w:rsidRPr="007E41D1" w:rsidRDefault="00D65F9E" w:rsidP="00E5332B">
      <w:pPr>
        <w:rPr>
          <w:b/>
          <w:lang w:val="en-GB"/>
        </w:rPr>
      </w:pPr>
      <w:r w:rsidRPr="007E41D1">
        <w:rPr>
          <w:b/>
          <w:lang w:val="en-GB"/>
        </w:rPr>
        <w:t>Definition:</w:t>
      </w:r>
    </w:p>
    <w:p w:rsidR="002F446D" w:rsidRPr="007E41D1" w:rsidRDefault="001D6AD5" w:rsidP="00E5332B">
      <w:pPr>
        <w:rPr>
          <w:lang w:val="en-GB"/>
        </w:rPr>
      </w:pPr>
      <w:r w:rsidRPr="007E41D1">
        <w:rPr>
          <w:lang w:val="en-GB"/>
        </w:rPr>
        <w:t>The test will review whether references are used for organisations across the participating organisation roles (Funding, Accountable, Extending and</w:t>
      </w:r>
      <w:r w:rsidR="004E4760" w:rsidRPr="007E41D1">
        <w:rPr>
          <w:lang w:val="en-GB"/>
        </w:rPr>
        <w:t xml:space="preserve"> Implementing). </w:t>
      </w:r>
      <w:r w:rsidR="00C938AC" w:rsidRPr="007E41D1">
        <w:rPr>
          <w:lang w:val="en-GB"/>
        </w:rPr>
        <w:t xml:space="preserve">References </w:t>
      </w:r>
      <w:r w:rsidR="00BE3553">
        <w:rPr>
          <w:lang w:val="en-GB"/>
        </w:rPr>
        <w:t>must use a prefix from</w:t>
      </w:r>
      <w:r w:rsidR="00C938AC" w:rsidRPr="00231558">
        <w:rPr>
          <w:lang w:val="en-GB"/>
        </w:rPr>
        <w:t xml:space="preserve"> </w:t>
      </w:r>
      <w:r w:rsidR="00231558" w:rsidRPr="00231558">
        <w:rPr>
          <w:lang w:val="en-GB"/>
        </w:rPr>
        <w:t xml:space="preserve">the </w:t>
      </w:r>
      <w:hyperlink r:id="rId12" w:history="1">
        <w:r w:rsidR="00231558" w:rsidRPr="00231558">
          <w:rPr>
            <w:rStyle w:val="Hyperlink"/>
            <w:lang w:val="en-GB"/>
          </w:rPr>
          <w:t>list of valid prefixes</w:t>
        </w:r>
      </w:hyperlink>
      <w:r w:rsidR="00231558" w:rsidRPr="00231558">
        <w:rPr>
          <w:lang w:val="en-GB"/>
        </w:rPr>
        <w:t xml:space="preserve"> for IATI organisation </w:t>
      </w:r>
      <w:r w:rsidR="00231558">
        <w:rPr>
          <w:lang w:val="en-GB"/>
        </w:rPr>
        <w:t>references</w:t>
      </w:r>
      <w:r w:rsidR="00BE3553">
        <w:rPr>
          <w:lang w:val="en-GB"/>
        </w:rPr>
        <w:t xml:space="preserve"> or be on the </w:t>
      </w:r>
      <w:hyperlink r:id="rId13" w:history="1">
        <w:r w:rsidR="00BE3553" w:rsidRPr="00BE3553">
          <w:rPr>
            <w:rStyle w:val="Hyperlink"/>
            <w:lang w:val="en-GB"/>
          </w:rPr>
          <w:t>list of IATI publishers</w:t>
        </w:r>
      </w:hyperlink>
      <w:r w:rsidR="00BE3553">
        <w:rPr>
          <w:lang w:val="en-GB"/>
        </w:rPr>
        <w:t xml:space="preserve"> to be accepted.</w:t>
      </w:r>
      <w:r w:rsidR="00C938AC" w:rsidRPr="007E41D1">
        <w:rPr>
          <w:lang w:val="en-GB"/>
        </w:rPr>
        <w:t xml:space="preserve"> </w:t>
      </w:r>
      <w:r w:rsidR="004E4760" w:rsidRPr="007E41D1">
        <w:rPr>
          <w:lang w:val="en-GB"/>
        </w:rPr>
        <w:t>The test will exclude references to the publisher themselve</w:t>
      </w:r>
      <w:r w:rsidR="00AF1E12" w:rsidRPr="007E41D1">
        <w:rPr>
          <w:lang w:val="en-GB"/>
        </w:rPr>
        <w:t xml:space="preserve">s. OECD DAC CRS Channel Codes will need to use the XM-DAC- prefix in order for the codes to be accepted as organisation </w:t>
      </w:r>
      <w:r w:rsidR="00BE3553">
        <w:rPr>
          <w:lang w:val="en-GB"/>
        </w:rPr>
        <w:t>reference</w:t>
      </w:r>
      <w:r w:rsidR="00AF1E12" w:rsidRPr="007E41D1">
        <w:rPr>
          <w:lang w:val="en-GB"/>
        </w:rPr>
        <w:t>s.</w:t>
      </w:r>
      <w:r w:rsidR="00190197" w:rsidRPr="00190197">
        <w:t xml:space="preserve"> </w:t>
      </w:r>
      <w:r w:rsidR="00190197" w:rsidRPr="00190197">
        <w:rPr>
          <w:lang w:val="en-GB"/>
        </w:rPr>
        <w:t>Generic</w:t>
      </w:r>
      <w:r w:rsidR="00190197">
        <w:rPr>
          <w:lang w:val="en-GB"/>
        </w:rPr>
        <w:t xml:space="preserve"> or non-specific</w:t>
      </w:r>
      <w:r w:rsidR="00190197" w:rsidRPr="00190197">
        <w:rPr>
          <w:lang w:val="en-GB"/>
        </w:rPr>
        <w:t xml:space="preserve"> organisation </w:t>
      </w:r>
      <w:r w:rsidR="00190197">
        <w:rPr>
          <w:lang w:val="en-GB"/>
        </w:rPr>
        <w:t>references</w:t>
      </w:r>
      <w:r w:rsidR="00190197" w:rsidRPr="00190197">
        <w:rPr>
          <w:lang w:val="en-GB"/>
        </w:rPr>
        <w:t xml:space="preserve"> (such as “Developing country-based NGO” or “Multilateral Organisations”) will not be </w:t>
      </w:r>
      <w:r w:rsidR="00190197">
        <w:rPr>
          <w:lang w:val="en-GB"/>
        </w:rPr>
        <w:t>accepted since these do not allow networking of organisations</w:t>
      </w:r>
      <w:r w:rsidR="00190197" w:rsidRPr="00190197">
        <w:rPr>
          <w:lang w:val="en-GB"/>
        </w:rPr>
        <w:t>.</w:t>
      </w:r>
    </w:p>
    <w:p w:rsidR="00C938AC" w:rsidRPr="007E41D1" w:rsidRDefault="00AF1E12" w:rsidP="00E5332B">
      <w:pPr>
        <w:rPr>
          <w:lang w:val="en-GB"/>
        </w:rPr>
      </w:pPr>
      <w:r w:rsidRPr="007E41D1">
        <w:rPr>
          <w:lang w:val="en-GB"/>
        </w:rPr>
        <w:t xml:space="preserve">Each activity will receive a </w:t>
      </w:r>
      <w:r w:rsidR="0055455E" w:rsidRPr="007E41D1">
        <w:rPr>
          <w:lang w:val="en-GB"/>
        </w:rPr>
        <w:t>percentage</w:t>
      </w:r>
      <w:r w:rsidRPr="007E41D1">
        <w:rPr>
          <w:lang w:val="en-GB"/>
        </w:rPr>
        <w:t xml:space="preserve"> score based on the number of participating organisations that have reference</w:t>
      </w:r>
      <w:r w:rsidR="002F446D" w:rsidRPr="007E41D1">
        <w:rPr>
          <w:lang w:val="en-GB"/>
        </w:rPr>
        <w:t>s</w:t>
      </w:r>
      <w:r w:rsidRPr="007E41D1">
        <w:rPr>
          <w:lang w:val="en-GB"/>
        </w:rPr>
        <w:t xml:space="preserve"> and </w:t>
      </w:r>
      <w:r w:rsidR="002F446D" w:rsidRPr="007E41D1">
        <w:rPr>
          <w:lang w:val="en-GB"/>
        </w:rPr>
        <w:t xml:space="preserve">those </w:t>
      </w:r>
      <w:r w:rsidRPr="007E41D1">
        <w:rPr>
          <w:lang w:val="en-GB"/>
        </w:rPr>
        <w:t>that don’t.</w:t>
      </w:r>
      <w:r w:rsidR="00C938AC" w:rsidRPr="007E41D1">
        <w:rPr>
          <w:lang w:val="en-GB"/>
        </w:rPr>
        <w:t xml:space="preserve"> This will be calculated as follows:</w:t>
      </w:r>
    </w:p>
    <w:p w:rsidR="00C938AC" w:rsidRPr="007E41D1" w:rsidRDefault="00642409" w:rsidP="00E5332B">
      <w:pPr>
        <w:rPr>
          <w:lang w:val="en-GB"/>
        </w:rPr>
      </w:pPr>
      <w:r w:rsidRPr="007E41D1">
        <w:rPr>
          <w:lang w:val="en-GB"/>
        </w:rPr>
        <w:t>Number of participating organisations using refs / Total number of participating organisations</w:t>
      </w:r>
      <w:r w:rsidR="00190197">
        <w:rPr>
          <w:lang w:val="en-GB"/>
        </w:rPr>
        <w:t xml:space="preserve"> (excluding self-references)</w:t>
      </w:r>
    </w:p>
    <w:p w:rsidR="00190197" w:rsidRDefault="00C938AC" w:rsidP="00E5332B">
      <w:pPr>
        <w:rPr>
          <w:lang w:val="en-GB"/>
        </w:rPr>
      </w:pPr>
      <w:r w:rsidRPr="007E41D1">
        <w:rPr>
          <w:lang w:val="en-GB"/>
        </w:rPr>
        <w:t xml:space="preserve">These scores will then be aggregated across an organisation’s activities to calculate the final score for this test. </w:t>
      </w:r>
    </w:p>
    <w:p w:rsidR="00975D32" w:rsidRPr="007E41D1" w:rsidRDefault="00190197" w:rsidP="00E5332B">
      <w:pPr>
        <w:rPr>
          <w:lang w:val="en-GB"/>
        </w:rPr>
      </w:pPr>
      <w:r>
        <w:rPr>
          <w:lang w:val="en-GB"/>
        </w:rPr>
        <w:t xml:space="preserve">Organisations working exclusively with partner country governments or private sector investments will be excluded from this test since there is currently no accepted way to refer to these participating organisations. </w:t>
      </w:r>
    </w:p>
    <w:p w:rsidR="00C938AC" w:rsidRPr="007E41D1" w:rsidRDefault="00C938AC" w:rsidP="00C938AC">
      <w:pPr>
        <w:pStyle w:val="Heading2"/>
        <w:rPr>
          <w:lang w:val="en-GB"/>
        </w:rPr>
      </w:pPr>
      <w:bookmarkStart w:id="5" w:name="_Toc66108862"/>
      <w:r w:rsidRPr="007E41D1">
        <w:rPr>
          <w:lang w:val="en-GB"/>
        </w:rPr>
        <w:t>Scoring</w:t>
      </w:r>
      <w:bookmarkEnd w:id="5"/>
    </w:p>
    <w:p w:rsidR="00F175DE" w:rsidRPr="007E41D1" w:rsidRDefault="00642409" w:rsidP="00FE4FFA">
      <w:pPr>
        <w:rPr>
          <w:lang w:val="en-GB"/>
        </w:rPr>
      </w:pPr>
      <w:r w:rsidRPr="007E41D1">
        <w:rPr>
          <w:lang w:val="en-GB"/>
        </w:rPr>
        <w:t xml:space="preserve">The </w:t>
      </w:r>
      <w:r w:rsidRPr="007E41D1">
        <w:rPr>
          <w:b/>
          <w:lang w:val="en-GB"/>
        </w:rPr>
        <w:t xml:space="preserve">Networked data </w:t>
      </w:r>
      <w:r w:rsidRPr="007E41D1">
        <w:rPr>
          <w:lang w:val="en-GB"/>
        </w:rPr>
        <w:t xml:space="preserve">indicator will be included in the </w:t>
      </w:r>
      <w:r w:rsidRPr="007E41D1">
        <w:rPr>
          <w:b/>
          <w:lang w:val="en-GB"/>
        </w:rPr>
        <w:t>Joining-up development data</w:t>
      </w:r>
      <w:r w:rsidRPr="007E41D1">
        <w:rPr>
          <w:lang w:val="en-GB"/>
        </w:rPr>
        <w:t xml:space="preserve"> component.  It will be worth </w:t>
      </w:r>
      <w:r w:rsidRPr="00AC4032">
        <w:rPr>
          <w:b/>
          <w:lang w:val="en-GB"/>
        </w:rPr>
        <w:t>5 points</w:t>
      </w:r>
      <w:r w:rsidRPr="007E41D1">
        <w:rPr>
          <w:lang w:val="en-GB"/>
        </w:rPr>
        <w:t xml:space="preserve"> in total, with points allocated between the two tests as follows:</w:t>
      </w:r>
    </w:p>
    <w:p w:rsidR="00642409" w:rsidRPr="007E41D1" w:rsidRDefault="00642409" w:rsidP="00FE4FFA">
      <w:pPr>
        <w:rPr>
          <w:lang w:val="en-GB"/>
        </w:rPr>
      </w:pPr>
      <w:r w:rsidRPr="007E41D1">
        <w:rPr>
          <w:lang w:val="en-GB"/>
        </w:rPr>
        <w:t xml:space="preserve">Implementer: </w:t>
      </w:r>
      <w:r w:rsidRPr="00AC4032">
        <w:rPr>
          <w:b/>
          <w:lang w:val="en-GB"/>
        </w:rPr>
        <w:t>3.33 points</w:t>
      </w:r>
    </w:p>
    <w:p w:rsidR="00642409" w:rsidRPr="007E41D1" w:rsidRDefault="00642409">
      <w:pPr>
        <w:rPr>
          <w:lang w:val="en-GB"/>
        </w:rPr>
      </w:pPr>
      <w:r w:rsidRPr="007E41D1">
        <w:rPr>
          <w:lang w:val="en-GB"/>
        </w:rPr>
        <w:t xml:space="preserve">Org. references: </w:t>
      </w:r>
      <w:r w:rsidRPr="00AC4032">
        <w:rPr>
          <w:b/>
          <w:lang w:val="en-GB"/>
        </w:rPr>
        <w:t>1.67 points</w:t>
      </w:r>
    </w:p>
    <w:p w:rsidR="009B4FBA" w:rsidRPr="007E41D1" w:rsidRDefault="009B4FBA">
      <w:pPr>
        <w:rPr>
          <w:lang w:val="en-GB"/>
        </w:rPr>
      </w:pPr>
      <w:r w:rsidRPr="007E41D1">
        <w:rPr>
          <w:lang w:val="en-GB"/>
        </w:rPr>
        <w:br w:type="page"/>
      </w:r>
    </w:p>
    <w:p w:rsidR="00564AF4" w:rsidRPr="007E41D1" w:rsidRDefault="00564AF4" w:rsidP="00564AF4">
      <w:pPr>
        <w:pStyle w:val="Heading1"/>
        <w:rPr>
          <w:lang w:val="en-GB"/>
        </w:rPr>
      </w:pPr>
      <w:bookmarkStart w:id="6" w:name="_Toc65502292"/>
      <w:bookmarkStart w:id="7" w:name="_Toc66108863"/>
      <w:r w:rsidRPr="007E41D1">
        <w:rPr>
          <w:lang w:val="en-GB"/>
        </w:rPr>
        <w:t>Conditions indicator</w:t>
      </w:r>
      <w:bookmarkEnd w:id="6"/>
      <w:bookmarkEnd w:id="7"/>
    </w:p>
    <w:p w:rsidR="00564AF4" w:rsidRPr="007E41D1" w:rsidRDefault="00564AF4" w:rsidP="00564AF4">
      <w:pPr>
        <w:rPr>
          <w:bCs/>
          <w:lang w:val="en-GB"/>
        </w:rPr>
      </w:pPr>
      <w:r w:rsidRPr="007E41D1">
        <w:rPr>
          <w:bCs/>
          <w:lang w:val="en-GB"/>
        </w:rPr>
        <w:t xml:space="preserve">The Conditions indicator has come under review due to a lack of clarity about what should be disclosed in the Conditions element in IATI. The </w:t>
      </w:r>
      <w:hyperlink r:id="rId14" w:history="1">
        <w:r w:rsidRPr="007E41D1">
          <w:rPr>
            <w:rStyle w:val="Hyperlink"/>
            <w:bCs/>
            <w:lang w:val="en-GB"/>
          </w:rPr>
          <w:t>IATI Standard guidance for this element</w:t>
        </w:r>
      </w:hyperlink>
      <w:r w:rsidRPr="007E41D1">
        <w:rPr>
          <w:bCs/>
          <w:lang w:val="en-GB"/>
        </w:rPr>
        <w:t xml:space="preserve"> has been updated since the 2020 Index and this provides more clarity about what is required. </w:t>
      </w:r>
    </w:p>
    <w:p w:rsidR="00564AF4" w:rsidRPr="007E41D1" w:rsidRDefault="00564AF4" w:rsidP="00564AF4">
      <w:pPr>
        <w:rPr>
          <w:bCs/>
          <w:lang w:val="en-GB"/>
        </w:rPr>
      </w:pPr>
      <w:r w:rsidRPr="007E41D1">
        <w:rPr>
          <w:bCs/>
          <w:lang w:val="en-GB"/>
        </w:rPr>
        <w:t>There had been some confusion about whether Conditions referred to the conditions placed on an implementing partner or “aid conditionality” placed on a partner government. The new IATI guidance clarifies that either of these applies – conditions can be policy conditions, performance conditions or fiduciary conditions, and these should all be disclosed when attached to an activity.</w:t>
      </w:r>
    </w:p>
    <w:p w:rsidR="00564AF4" w:rsidRPr="007E41D1" w:rsidRDefault="00564AF4" w:rsidP="00564AF4">
      <w:pPr>
        <w:rPr>
          <w:bCs/>
          <w:lang w:val="en-GB"/>
        </w:rPr>
      </w:pPr>
      <w:r w:rsidRPr="007E41D1">
        <w:rPr>
          <w:bCs/>
          <w:lang w:val="en-GB"/>
        </w:rPr>
        <w:t xml:space="preserve">For IATI data the Conditions indicator is a two-part test, assessing the “Conditions data” element and the “Conditions document” element. For Conditions data, </w:t>
      </w:r>
      <w:r w:rsidR="009945DD">
        <w:rPr>
          <w:bCs/>
          <w:lang w:val="en-GB"/>
        </w:rPr>
        <w:t>publisher</w:t>
      </w:r>
      <w:r w:rsidRPr="007E41D1">
        <w:rPr>
          <w:bCs/>
          <w:lang w:val="en-GB"/>
        </w:rPr>
        <w:t xml:space="preserve">s can use a 1 or 0 to indicate whether an activity has conditions, and if a 1 is used, those conditions can be included as raw data in the element.  For the Conditions document element, </w:t>
      </w:r>
      <w:r w:rsidR="009945DD">
        <w:rPr>
          <w:bCs/>
          <w:lang w:val="en-GB"/>
        </w:rPr>
        <w:t>publisher</w:t>
      </w:r>
      <w:r w:rsidRPr="007E41D1">
        <w:rPr>
          <w:bCs/>
          <w:lang w:val="en-GB"/>
        </w:rPr>
        <w:t xml:space="preserve">s can tag a document with the A04 document code. </w:t>
      </w:r>
      <w:r w:rsidR="009945DD">
        <w:rPr>
          <w:bCs/>
          <w:lang w:val="en-GB"/>
        </w:rPr>
        <w:t>Publisher</w:t>
      </w:r>
      <w:r w:rsidRPr="007E41D1">
        <w:rPr>
          <w:bCs/>
          <w:lang w:val="en-GB"/>
        </w:rPr>
        <w:t xml:space="preserve">s can do either of these to pass the test of the indicator.  Both of these are subject to manual IATI sampling. </w:t>
      </w:r>
    </w:p>
    <w:p w:rsidR="00564AF4" w:rsidRPr="007E41D1" w:rsidRDefault="00564AF4" w:rsidP="00564AF4">
      <w:pPr>
        <w:rPr>
          <w:bCs/>
          <w:lang w:val="en-GB"/>
        </w:rPr>
      </w:pPr>
      <w:r w:rsidRPr="007E41D1">
        <w:rPr>
          <w:bCs/>
          <w:lang w:val="en-GB"/>
        </w:rPr>
        <w:t xml:space="preserve">Currently, some </w:t>
      </w:r>
      <w:r w:rsidR="009945DD">
        <w:rPr>
          <w:bCs/>
          <w:lang w:val="en-GB"/>
        </w:rPr>
        <w:t>publisher</w:t>
      </w:r>
      <w:r w:rsidRPr="007E41D1">
        <w:rPr>
          <w:bCs/>
          <w:lang w:val="en-GB"/>
        </w:rPr>
        <w:t xml:space="preserve">s use “0” entries in their conditions data across their activities, which is sufficient to pass the automated test but does not provide any information about policy, performance or fiduciary conditions. For any project with an implementing partner, or which works directly with a partner government it is expected that there are conditions, unless it is explicitly stated that funding is unconditional. </w:t>
      </w:r>
    </w:p>
    <w:p w:rsidR="00564AF4" w:rsidRPr="007E41D1" w:rsidRDefault="00564AF4" w:rsidP="00564AF4">
      <w:pPr>
        <w:pStyle w:val="Heading2"/>
        <w:rPr>
          <w:lang w:val="en-GB"/>
        </w:rPr>
      </w:pPr>
      <w:bookmarkStart w:id="8" w:name="_Toc65502293"/>
      <w:bookmarkStart w:id="9" w:name="_Toc66108864"/>
      <w:r w:rsidRPr="007E41D1">
        <w:rPr>
          <w:lang w:val="en-GB"/>
        </w:rPr>
        <w:t>Proposed changes</w:t>
      </w:r>
      <w:bookmarkEnd w:id="8"/>
      <w:bookmarkEnd w:id="9"/>
    </w:p>
    <w:p w:rsidR="00564AF4" w:rsidRPr="007E41D1" w:rsidRDefault="00564AF4" w:rsidP="00564AF4">
      <w:pPr>
        <w:rPr>
          <w:bCs/>
          <w:lang w:val="en-GB"/>
        </w:rPr>
      </w:pPr>
      <w:r w:rsidRPr="007E41D1">
        <w:rPr>
          <w:bCs/>
          <w:lang w:val="en-GB"/>
        </w:rPr>
        <w:t xml:space="preserve">In order to make the test more relevant we propose to restrict it to aid types: </w:t>
      </w:r>
    </w:p>
    <w:p w:rsidR="00564AF4" w:rsidRPr="007E41D1" w:rsidRDefault="00564AF4" w:rsidP="00564AF4">
      <w:pPr>
        <w:rPr>
          <w:bCs/>
          <w:lang w:val="en-GB"/>
        </w:rPr>
      </w:pPr>
      <w:r w:rsidRPr="007E41D1">
        <w:rPr>
          <w:bCs/>
          <w:lang w:val="en-GB"/>
        </w:rPr>
        <w:t>A01 Budget support</w:t>
      </w:r>
    </w:p>
    <w:p w:rsidR="00564AF4" w:rsidRPr="007E41D1" w:rsidRDefault="00564AF4" w:rsidP="00564AF4">
      <w:pPr>
        <w:rPr>
          <w:bCs/>
          <w:lang w:val="en-GB"/>
        </w:rPr>
      </w:pPr>
      <w:r w:rsidRPr="007E41D1">
        <w:rPr>
          <w:bCs/>
          <w:lang w:val="en-GB"/>
        </w:rPr>
        <w:t>A02 Sector budget support</w:t>
      </w:r>
    </w:p>
    <w:p w:rsidR="00564AF4" w:rsidRPr="007E41D1" w:rsidRDefault="00564AF4" w:rsidP="00564AF4">
      <w:pPr>
        <w:rPr>
          <w:bCs/>
          <w:lang w:val="en-GB"/>
        </w:rPr>
      </w:pPr>
      <w:r w:rsidRPr="007E41D1">
        <w:rPr>
          <w:bCs/>
          <w:lang w:val="en-GB"/>
        </w:rPr>
        <w:t>C01 Project-type interventions</w:t>
      </w:r>
    </w:p>
    <w:p w:rsidR="00564AF4" w:rsidRPr="007E41D1" w:rsidRDefault="00564AF4" w:rsidP="00564AF4">
      <w:pPr>
        <w:rPr>
          <w:bCs/>
          <w:lang w:val="en-GB"/>
        </w:rPr>
      </w:pPr>
      <w:r w:rsidRPr="007E41D1">
        <w:rPr>
          <w:bCs/>
          <w:lang w:val="en-GB"/>
        </w:rPr>
        <w:t xml:space="preserve">F01 Debt relief </w:t>
      </w:r>
    </w:p>
    <w:p w:rsidR="00564AF4" w:rsidRPr="007E41D1" w:rsidRDefault="00564AF4" w:rsidP="00564AF4">
      <w:pPr>
        <w:rPr>
          <w:bCs/>
          <w:lang w:val="en-GB"/>
        </w:rPr>
      </w:pPr>
      <w:r w:rsidRPr="007E41D1">
        <w:rPr>
          <w:bCs/>
          <w:lang w:val="en-GB"/>
        </w:rPr>
        <w:t>This will exclude activities such as core contributions (to multilaterals, pooled funds or NGOs) and smaller aid types such as scholarships, personnel and administration.</w:t>
      </w:r>
    </w:p>
    <w:p w:rsidR="00564AF4" w:rsidRPr="007E41D1" w:rsidRDefault="00564AF4" w:rsidP="00564AF4">
      <w:pPr>
        <w:rPr>
          <w:bCs/>
          <w:lang w:val="en-GB"/>
        </w:rPr>
      </w:pPr>
      <w:r w:rsidRPr="007E41D1">
        <w:rPr>
          <w:bCs/>
          <w:lang w:val="en-GB"/>
        </w:rPr>
        <w:t xml:space="preserve">Restricted in this way we can then use the sampling process to pick up on “0” indications that are not substantiated.  </w:t>
      </w:r>
    </w:p>
    <w:p w:rsidR="00564AF4" w:rsidRPr="007E41D1" w:rsidRDefault="00564AF4" w:rsidP="00564AF4">
      <w:pPr>
        <w:pStyle w:val="Heading2"/>
        <w:rPr>
          <w:lang w:val="en-GB"/>
        </w:rPr>
      </w:pPr>
      <w:bookmarkStart w:id="10" w:name="_Toc65502294"/>
      <w:bookmarkStart w:id="11" w:name="_Toc66108865"/>
      <w:r w:rsidRPr="007E41D1">
        <w:rPr>
          <w:lang w:val="en-GB"/>
        </w:rPr>
        <w:t>Changes to Index definition</w:t>
      </w:r>
      <w:bookmarkEnd w:id="10"/>
      <w:bookmarkEnd w:id="11"/>
    </w:p>
    <w:p w:rsidR="00564AF4" w:rsidRPr="007E41D1" w:rsidRDefault="00D65F9E" w:rsidP="00564AF4">
      <w:pPr>
        <w:rPr>
          <w:b/>
          <w:u w:val="single"/>
          <w:lang w:val="en-GB"/>
        </w:rPr>
      </w:pPr>
      <w:r w:rsidRPr="007E41D1">
        <w:rPr>
          <w:b/>
          <w:u w:val="single"/>
          <w:lang w:val="en-GB"/>
        </w:rPr>
        <w:t xml:space="preserve">30. </w:t>
      </w:r>
      <w:r w:rsidR="00564AF4" w:rsidRPr="007E41D1">
        <w:rPr>
          <w:b/>
          <w:u w:val="single"/>
          <w:lang w:val="en-GB"/>
        </w:rPr>
        <w:t>Conditions</w:t>
      </w:r>
    </w:p>
    <w:p w:rsidR="00D65F9E" w:rsidRPr="007E41D1" w:rsidRDefault="00D65F9E" w:rsidP="00564AF4">
      <w:pPr>
        <w:rPr>
          <w:b/>
          <w:lang w:val="en-GB"/>
        </w:rPr>
      </w:pPr>
      <w:r w:rsidRPr="007E41D1">
        <w:rPr>
          <w:b/>
          <w:lang w:val="en-GB"/>
        </w:rPr>
        <w:t>Survey question:</w:t>
      </w:r>
    </w:p>
    <w:p w:rsidR="00D65F9E" w:rsidRPr="007E41D1" w:rsidRDefault="00D65F9E" w:rsidP="00564AF4">
      <w:pPr>
        <w:rPr>
          <w:lang w:val="en-GB"/>
        </w:rPr>
      </w:pPr>
      <w:r w:rsidRPr="007E41D1">
        <w:rPr>
          <w:lang w:val="en-GB"/>
        </w:rPr>
        <w:t>Are the terms and conditions attached to the activity published?</w:t>
      </w:r>
    </w:p>
    <w:p w:rsidR="00D65F9E" w:rsidRPr="007E41D1" w:rsidRDefault="00D65F9E" w:rsidP="00564AF4">
      <w:pPr>
        <w:rPr>
          <w:b/>
          <w:lang w:val="en-GB"/>
        </w:rPr>
      </w:pPr>
      <w:r w:rsidRPr="007E41D1">
        <w:rPr>
          <w:b/>
          <w:lang w:val="en-GB"/>
        </w:rPr>
        <w:t>Definition:</w:t>
      </w:r>
    </w:p>
    <w:p w:rsidR="00564AF4" w:rsidRPr="007E41D1" w:rsidRDefault="00564AF4" w:rsidP="00564AF4">
      <w:pPr>
        <w:rPr>
          <w:lang w:val="en-GB"/>
        </w:rPr>
      </w:pPr>
      <w:r w:rsidRPr="007E41D1">
        <w:rPr>
          <w:lang w:val="en-GB"/>
        </w:rPr>
        <w:t>The terms and conditions of the activity may also be referred to as benchmarks, priors</w:t>
      </w:r>
      <w:r w:rsidR="00393E16" w:rsidRPr="00CA5DD3">
        <w:rPr>
          <w:color w:val="FF0000"/>
          <w:lang w:val="en-GB"/>
        </w:rPr>
        <w:t>, deliverables</w:t>
      </w:r>
      <w:r w:rsidRPr="007E41D1">
        <w:rPr>
          <w:lang w:val="en-GB"/>
        </w:rPr>
        <w:t>, or involve words such as “subject to...”. They are specific to an individual activity and explain what the recipient must do in order to be eligible for the funds to be released.</w:t>
      </w:r>
    </w:p>
    <w:p w:rsidR="00393E16" w:rsidRPr="00CA5DD3" w:rsidRDefault="00393E16" w:rsidP="00393E16">
      <w:pPr>
        <w:rPr>
          <w:color w:val="FF0000"/>
          <w:lang w:val="en-GB"/>
        </w:rPr>
      </w:pPr>
      <w:r w:rsidRPr="00CA5DD3">
        <w:rPr>
          <w:color w:val="FF0000"/>
          <w:lang w:val="en-GB"/>
        </w:rPr>
        <w:t xml:space="preserve">Any policy conditionality related to the activity should be published here.  In cases where there are both terms and conditions and policy conditionalities for an activity, all of these should be declared. </w:t>
      </w:r>
    </w:p>
    <w:p w:rsidR="00564AF4" w:rsidRPr="007E41D1" w:rsidRDefault="00564AF4" w:rsidP="00564AF4">
      <w:pPr>
        <w:rPr>
          <w:lang w:val="en-GB"/>
        </w:rPr>
      </w:pPr>
      <w:r w:rsidRPr="007E41D1">
        <w:rPr>
          <w:lang w:val="en-GB"/>
        </w:rPr>
        <w:t>The conditions should include loan repayment terms if the activity is financed by a loan.</w:t>
      </w:r>
    </w:p>
    <w:p w:rsidR="00564AF4" w:rsidRPr="007E41D1" w:rsidRDefault="00564AF4" w:rsidP="00564AF4">
      <w:pPr>
        <w:rPr>
          <w:lang w:val="en-GB"/>
        </w:rPr>
      </w:pPr>
      <w:r w:rsidRPr="007E41D1">
        <w:rPr>
          <w:lang w:val="en-GB"/>
        </w:rPr>
        <w:t>The IATI references for this indicator are: Conditions and/or Conditions document (document code = A04). For IFIs and DFIs, this includes loan repayment conditions or special terms and conditions. In cases where the loan repayment terms are considered commercially sensitive, this information can be redacted. The reason for the redactions needs to be explicitly stated in detail and must clarify why the information is commercially sensitive and would cause material and direct harm if published.</w:t>
      </w:r>
    </w:p>
    <w:p w:rsidR="00564AF4" w:rsidRPr="007E41D1" w:rsidRDefault="00564AF4" w:rsidP="00564AF4">
      <w:pPr>
        <w:rPr>
          <w:lang w:val="en-GB"/>
        </w:rPr>
      </w:pPr>
      <w:r w:rsidRPr="007E41D1">
        <w:rPr>
          <w:lang w:val="en-GB"/>
        </w:rPr>
        <w:t>For private foundations and humanitarian agencies, statements setting out what the grant can be spent on are accepted.</w:t>
      </w:r>
    </w:p>
    <w:p w:rsidR="00564AF4" w:rsidRPr="007E41D1" w:rsidRDefault="00564AF4">
      <w:pPr>
        <w:rPr>
          <w:rFonts w:asciiTheme="majorHAnsi" w:eastAsiaTheme="majorEastAsia" w:hAnsiTheme="majorHAnsi" w:cstheme="majorBidi"/>
          <w:color w:val="2E74B5" w:themeColor="accent1" w:themeShade="BF"/>
          <w:sz w:val="32"/>
          <w:szCs w:val="32"/>
          <w:lang w:val="en-GB"/>
        </w:rPr>
      </w:pPr>
      <w:r w:rsidRPr="007E41D1">
        <w:rPr>
          <w:lang w:val="en-GB"/>
        </w:rPr>
        <w:t>Templates for general terms and conditions are not accepted for scoring this indicator. If there are no policy, performance or fiduciary conditions associated with a relevant activity, this must be explicitly</w:t>
      </w:r>
      <w:r w:rsidR="00393E16" w:rsidRPr="00CA5DD3">
        <w:rPr>
          <w:color w:val="FF0000"/>
          <w:lang w:val="en-GB"/>
        </w:rPr>
        <w:t xml:space="preserve"> explained. An official document stating this will be accepted in lieu of a conditions document</w:t>
      </w:r>
      <w:r w:rsidRPr="007E41D1">
        <w:rPr>
          <w:lang w:val="en-GB"/>
        </w:rPr>
        <w:t>.</w:t>
      </w:r>
      <w:bookmarkStart w:id="12" w:name="_Toc56522757"/>
      <w:r w:rsidRPr="007E41D1">
        <w:rPr>
          <w:lang w:val="en-GB"/>
        </w:rPr>
        <w:br w:type="page"/>
      </w:r>
    </w:p>
    <w:p w:rsidR="00564AF4" w:rsidRPr="007E41D1" w:rsidRDefault="00564AF4" w:rsidP="00564AF4">
      <w:pPr>
        <w:pStyle w:val="Heading1"/>
        <w:rPr>
          <w:lang w:val="en-GB"/>
        </w:rPr>
      </w:pPr>
      <w:bookmarkStart w:id="13" w:name="_Toc65502295"/>
      <w:bookmarkStart w:id="14" w:name="_Toc66108866"/>
      <w:r w:rsidRPr="007E41D1">
        <w:rPr>
          <w:lang w:val="en-GB"/>
        </w:rPr>
        <w:t>Changes to IATI data quality sampling process</w:t>
      </w:r>
      <w:bookmarkEnd w:id="12"/>
      <w:bookmarkEnd w:id="13"/>
      <w:bookmarkEnd w:id="14"/>
    </w:p>
    <w:p w:rsidR="00564AF4" w:rsidRPr="007E41D1" w:rsidRDefault="00564AF4" w:rsidP="00564AF4">
      <w:pPr>
        <w:pStyle w:val="NormalWeb"/>
        <w:shd w:val="clear" w:color="auto" w:fill="FFFFFF"/>
        <w:rPr>
          <w:rFonts w:asciiTheme="minorHAnsi" w:hAnsiTheme="minorHAnsi" w:cstheme="minorHAnsi"/>
          <w:color w:val="000000"/>
          <w:sz w:val="22"/>
          <w:szCs w:val="22"/>
          <w:lang w:val="en-GB"/>
        </w:rPr>
      </w:pPr>
      <w:r w:rsidRPr="007E41D1">
        <w:rPr>
          <w:rFonts w:asciiTheme="minorHAnsi" w:hAnsiTheme="minorHAnsi" w:cstheme="minorHAnsi"/>
          <w:color w:val="000000"/>
          <w:sz w:val="22"/>
          <w:szCs w:val="22"/>
          <w:lang w:val="en-GB"/>
        </w:rPr>
        <w:t xml:space="preserve">The Aid Transparency Index approach to IATI </w:t>
      </w:r>
      <w:r w:rsidR="00E45A5E">
        <w:rPr>
          <w:rFonts w:asciiTheme="minorHAnsi" w:hAnsiTheme="minorHAnsi" w:cstheme="minorHAnsi"/>
          <w:color w:val="000000"/>
          <w:sz w:val="22"/>
          <w:szCs w:val="22"/>
          <w:lang w:val="en-GB"/>
        </w:rPr>
        <w:t xml:space="preserve">data quality </w:t>
      </w:r>
      <w:r w:rsidRPr="007E41D1">
        <w:rPr>
          <w:rFonts w:asciiTheme="minorHAnsi" w:hAnsiTheme="minorHAnsi" w:cstheme="minorHAnsi"/>
          <w:color w:val="000000"/>
          <w:sz w:val="22"/>
          <w:szCs w:val="22"/>
          <w:lang w:val="en-GB"/>
        </w:rPr>
        <w:t xml:space="preserve">sampling takes a random sample of activities against each sampled indicator and uses this sample to make inferences about the entire population of an organisation’s data. Each sample is checked and then passed or failed against the indicator criteria. If less than half the samples pass (&lt;50%) then that indicator fails sampling and the IATI points are lost for that indicator. We currently run two rounds of sampling. The first follows an initial data pull, which is not used to calculate the final scores of the index assessment, but rather is used to provide feedback to publishers. This lets people know where their data requires improvements in order to pass the second, final round of sampling. The final sampling round contributes to final </w:t>
      </w:r>
      <w:r w:rsidR="00E45A5E">
        <w:rPr>
          <w:rFonts w:asciiTheme="minorHAnsi" w:hAnsiTheme="minorHAnsi" w:cstheme="minorHAnsi"/>
          <w:color w:val="000000"/>
          <w:sz w:val="22"/>
          <w:szCs w:val="22"/>
          <w:lang w:val="en-GB"/>
        </w:rPr>
        <w:t xml:space="preserve">Index </w:t>
      </w:r>
      <w:r w:rsidRPr="007E41D1">
        <w:rPr>
          <w:rFonts w:asciiTheme="minorHAnsi" w:hAnsiTheme="minorHAnsi" w:cstheme="minorHAnsi"/>
          <w:color w:val="000000"/>
          <w:sz w:val="22"/>
          <w:szCs w:val="22"/>
          <w:lang w:val="en-GB"/>
        </w:rPr>
        <w:t xml:space="preserve">scores. </w:t>
      </w:r>
    </w:p>
    <w:p w:rsidR="00564AF4" w:rsidRPr="00E45A5E" w:rsidRDefault="00564AF4" w:rsidP="00564AF4">
      <w:pPr>
        <w:pStyle w:val="NormalWeb"/>
        <w:shd w:val="clear" w:color="auto" w:fill="FFFFFF"/>
        <w:rPr>
          <w:rFonts w:asciiTheme="minorHAnsi" w:hAnsiTheme="minorHAnsi" w:cstheme="minorHAnsi"/>
          <w:b/>
          <w:i/>
          <w:color w:val="000000"/>
          <w:sz w:val="22"/>
          <w:szCs w:val="22"/>
          <w:lang w:val="en-GB"/>
        </w:rPr>
      </w:pPr>
      <w:r w:rsidRPr="00E45A5E">
        <w:rPr>
          <w:rFonts w:asciiTheme="minorHAnsi" w:hAnsiTheme="minorHAnsi" w:cstheme="minorHAnsi"/>
          <w:b/>
          <w:i/>
          <w:color w:val="000000"/>
          <w:sz w:val="22"/>
          <w:szCs w:val="22"/>
          <w:lang w:val="en-GB"/>
        </w:rPr>
        <w:t>Currently we use a sample size of 20 for both the first and second round of sampling.  We propose to change the sample size for the first round of sampling to 12, while maintaining a sample size of 20 for the second round.</w:t>
      </w:r>
    </w:p>
    <w:p w:rsidR="00564AF4" w:rsidRPr="007E41D1" w:rsidRDefault="00564AF4" w:rsidP="00564AF4">
      <w:pPr>
        <w:pStyle w:val="NormalWeb"/>
        <w:shd w:val="clear" w:color="auto" w:fill="FFFFFF"/>
        <w:rPr>
          <w:rFonts w:asciiTheme="minorHAnsi" w:hAnsiTheme="minorHAnsi" w:cstheme="minorHAnsi"/>
          <w:color w:val="000000"/>
          <w:sz w:val="22"/>
          <w:szCs w:val="22"/>
          <w:lang w:val="en-GB"/>
        </w:rPr>
      </w:pPr>
      <w:r w:rsidRPr="007E41D1">
        <w:rPr>
          <w:rFonts w:asciiTheme="minorHAnsi" w:hAnsiTheme="minorHAnsi" w:cstheme="minorHAnsi"/>
          <w:color w:val="000000"/>
          <w:sz w:val="22"/>
          <w:szCs w:val="22"/>
          <w:lang w:val="en-GB"/>
        </w:rPr>
        <w:t xml:space="preserve">This explanation seeks to demonstrate the significance of pass/fail results in the sampling and to illustrate the levels of confidence and margins of error in these findings. </w:t>
      </w:r>
    </w:p>
    <w:p w:rsidR="00564AF4" w:rsidRPr="007E41D1" w:rsidRDefault="00564AF4" w:rsidP="00564AF4">
      <w:pPr>
        <w:pStyle w:val="NormalWeb"/>
        <w:shd w:val="clear" w:color="auto" w:fill="FFFFFF"/>
        <w:rPr>
          <w:rFonts w:asciiTheme="minorHAnsi" w:hAnsiTheme="minorHAnsi" w:cstheme="minorHAnsi"/>
          <w:color w:val="000000"/>
          <w:sz w:val="22"/>
          <w:szCs w:val="22"/>
          <w:lang w:val="en-GB"/>
        </w:rPr>
      </w:pPr>
      <w:r w:rsidRPr="007E41D1">
        <w:rPr>
          <w:rFonts w:asciiTheme="minorHAnsi" w:hAnsiTheme="minorHAnsi" w:cstheme="minorHAnsi"/>
          <w:color w:val="000000"/>
          <w:sz w:val="22"/>
          <w:szCs w:val="22"/>
          <w:lang w:val="en-GB"/>
        </w:rPr>
        <w:t xml:space="preserve">Note that these calculations are based on an unlimited population size – for limited population sizes the sample sizes required for the same confidence levels are reduced marginally. For populations &lt; 500 the sample sizes start to reduce more significantly. </w:t>
      </w:r>
    </w:p>
    <w:p w:rsidR="00564AF4" w:rsidRPr="007E41D1" w:rsidRDefault="00564AF4" w:rsidP="00564AF4">
      <w:pPr>
        <w:pStyle w:val="NormalWeb"/>
        <w:shd w:val="clear" w:color="auto" w:fill="FFFFFF"/>
        <w:rPr>
          <w:rFonts w:asciiTheme="minorHAnsi" w:hAnsiTheme="minorHAnsi" w:cstheme="minorHAnsi"/>
          <w:color w:val="000000"/>
          <w:sz w:val="22"/>
          <w:szCs w:val="22"/>
          <w:lang w:val="en-GB"/>
        </w:rPr>
      </w:pPr>
      <w:r w:rsidRPr="007E41D1">
        <w:rPr>
          <w:rFonts w:asciiTheme="minorHAnsi" w:hAnsiTheme="minorHAnsi" w:cstheme="minorHAnsi"/>
          <w:color w:val="000000"/>
          <w:sz w:val="22"/>
          <w:szCs w:val="22"/>
          <w:lang w:val="en-GB"/>
        </w:rPr>
        <w:t>In studies where the plan is to estimate the proportion of successes in a dichotomous outcome variable (yes/no) in a single population, the formula for determining sample size is:</w:t>
      </w:r>
    </w:p>
    <w:p w:rsidR="00DC3FD9" w:rsidRPr="007E41D1" w:rsidRDefault="00DC3FD9" w:rsidP="00DC3FD9">
      <w:pPr>
        <w:pStyle w:val="ListParagraph"/>
        <w:numPr>
          <w:ilvl w:val="0"/>
          <w:numId w:val="1"/>
        </w:numPr>
        <w:rPr>
          <w:rFonts w:eastAsiaTheme="minorEastAsia" w:cstheme="minorHAnsi"/>
        </w:rPr>
      </w:pPr>
      <m:oMath>
        <m:r>
          <w:rPr>
            <w:rFonts w:ascii="Cambria Math" w:hAnsi="Cambria Math" w:cstheme="minorHAnsi"/>
          </w:rPr>
          <m:t>n = p(1-p)</m:t>
        </m:r>
        <m:sSup>
          <m:sSupPr>
            <m:ctrlPr>
              <w:rPr>
                <w:rFonts w:ascii="Cambria Math" w:hAnsi="Cambria Math" w:cstheme="minorHAnsi"/>
                <w:i/>
              </w:rPr>
            </m:ctrlPr>
          </m:sSupPr>
          <m:e>
            <m:d>
              <m:dPr>
                <m:begChr m:val=""/>
                <m:ctrlPr>
                  <w:rPr>
                    <w:rFonts w:ascii="Cambria Math" w:hAnsi="Cambria Math" w:cstheme="minorHAnsi"/>
                    <w:i/>
                  </w:rPr>
                </m:ctrlPr>
              </m:dPr>
              <m:e>
                <m:d>
                  <m:dPr>
                    <m:endChr m:val=""/>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Z</m:t>
                        </m:r>
                      </m:num>
                      <m:den>
                        <m:r>
                          <w:rPr>
                            <w:rFonts w:ascii="Cambria Math" w:hAnsi="Cambria Math" w:cstheme="minorHAnsi"/>
                          </w:rPr>
                          <m:t>E</m:t>
                        </m:r>
                      </m:den>
                    </m:f>
                  </m:e>
                </m:d>
              </m:e>
            </m:d>
          </m:e>
          <m:sup>
            <m:r>
              <w:rPr>
                <w:rFonts w:ascii="Cambria Math" w:hAnsi="Cambria Math" w:cstheme="minorHAnsi"/>
              </w:rPr>
              <m:t>2</m:t>
            </m:r>
          </m:sup>
        </m:sSup>
      </m:oMath>
    </w:p>
    <w:p w:rsidR="00564AF4" w:rsidRPr="007E41D1" w:rsidRDefault="00564AF4" w:rsidP="00564AF4">
      <w:pPr>
        <w:pStyle w:val="NormalWeb"/>
        <w:shd w:val="clear" w:color="auto" w:fill="FFFFFF"/>
        <w:rPr>
          <w:rFonts w:asciiTheme="minorHAnsi" w:hAnsiTheme="minorHAnsi" w:cstheme="minorHAnsi"/>
          <w:color w:val="000000"/>
          <w:sz w:val="22"/>
          <w:szCs w:val="22"/>
          <w:lang w:val="en-GB"/>
        </w:rPr>
      </w:pPr>
      <w:r w:rsidRPr="007E41D1">
        <w:rPr>
          <w:rFonts w:asciiTheme="minorHAnsi" w:hAnsiTheme="minorHAnsi" w:cstheme="minorHAnsi"/>
          <w:color w:val="000000"/>
          <w:sz w:val="22"/>
          <w:szCs w:val="22"/>
          <w:lang w:val="en-GB"/>
        </w:rPr>
        <w:t xml:space="preserve">Where </w:t>
      </w:r>
      <w:r w:rsidRPr="007E41D1">
        <w:rPr>
          <w:rFonts w:asciiTheme="minorHAnsi" w:hAnsiTheme="minorHAnsi" w:cstheme="minorHAnsi"/>
          <w:i/>
          <w:color w:val="000000"/>
          <w:sz w:val="22"/>
          <w:szCs w:val="22"/>
          <w:lang w:val="en-GB"/>
        </w:rPr>
        <w:t xml:space="preserve">n </w:t>
      </w:r>
      <w:r w:rsidRPr="007E41D1">
        <w:rPr>
          <w:rFonts w:asciiTheme="minorHAnsi" w:hAnsiTheme="minorHAnsi" w:cstheme="minorHAnsi"/>
          <w:color w:val="000000"/>
          <w:sz w:val="22"/>
          <w:szCs w:val="22"/>
          <w:lang w:val="en-GB"/>
        </w:rPr>
        <w:t xml:space="preserve">is the sample size, </w:t>
      </w:r>
      <w:r w:rsidRPr="007E41D1">
        <w:rPr>
          <w:rFonts w:asciiTheme="minorHAnsi" w:hAnsiTheme="minorHAnsi" w:cstheme="minorHAnsi"/>
          <w:i/>
          <w:color w:val="000000"/>
          <w:sz w:val="22"/>
          <w:szCs w:val="22"/>
          <w:lang w:val="en-GB"/>
        </w:rPr>
        <w:t>p</w:t>
      </w:r>
      <w:r w:rsidRPr="007E41D1">
        <w:rPr>
          <w:rFonts w:asciiTheme="minorHAnsi" w:hAnsiTheme="minorHAnsi" w:cstheme="minorHAnsi"/>
          <w:color w:val="000000"/>
          <w:sz w:val="22"/>
          <w:szCs w:val="22"/>
          <w:lang w:val="en-GB"/>
        </w:rPr>
        <w:t xml:space="preserve"> is the proportion of “pass” results, </w:t>
      </w:r>
      <w:r w:rsidRPr="007E41D1">
        <w:rPr>
          <w:rFonts w:asciiTheme="minorHAnsi" w:hAnsiTheme="minorHAnsi" w:cstheme="minorHAnsi"/>
          <w:i/>
          <w:color w:val="000000"/>
          <w:sz w:val="22"/>
          <w:szCs w:val="22"/>
          <w:lang w:val="en-GB"/>
        </w:rPr>
        <w:t>Z</w:t>
      </w:r>
      <w:r w:rsidRPr="007E41D1">
        <w:rPr>
          <w:rFonts w:asciiTheme="minorHAnsi" w:hAnsiTheme="minorHAnsi" w:cstheme="minorHAnsi"/>
          <w:color w:val="000000"/>
          <w:sz w:val="22"/>
          <w:szCs w:val="22"/>
          <w:lang w:val="en-GB"/>
        </w:rPr>
        <w:t xml:space="preserve"> is the z-score for calculating the confidence interval based on a normal sample distribution and </w:t>
      </w:r>
      <w:r w:rsidRPr="007E41D1">
        <w:rPr>
          <w:rFonts w:asciiTheme="minorHAnsi" w:hAnsiTheme="minorHAnsi" w:cstheme="minorHAnsi"/>
          <w:i/>
          <w:color w:val="000000"/>
          <w:sz w:val="22"/>
          <w:szCs w:val="22"/>
          <w:lang w:val="en-GB"/>
        </w:rPr>
        <w:t>E</w:t>
      </w:r>
      <w:r w:rsidRPr="007E41D1">
        <w:rPr>
          <w:rFonts w:asciiTheme="minorHAnsi" w:hAnsiTheme="minorHAnsi" w:cstheme="minorHAnsi"/>
          <w:color w:val="000000"/>
          <w:sz w:val="22"/>
          <w:szCs w:val="22"/>
          <w:lang w:val="en-GB"/>
        </w:rPr>
        <w:t xml:space="preserve"> is the margin of error. </w:t>
      </w:r>
      <w:r w:rsidRPr="007E41D1">
        <w:rPr>
          <w:rFonts w:asciiTheme="minorHAnsi" w:hAnsiTheme="minorHAnsi" w:cstheme="minorHAnsi"/>
          <w:i/>
          <w:color w:val="000000"/>
          <w:sz w:val="22"/>
          <w:szCs w:val="22"/>
          <w:lang w:val="en-GB"/>
        </w:rPr>
        <w:t xml:space="preserve">p̂ </w:t>
      </w:r>
      <w:r w:rsidRPr="007E41D1">
        <w:rPr>
          <w:rFonts w:asciiTheme="minorHAnsi" w:hAnsiTheme="minorHAnsi" w:cstheme="minorHAnsi"/>
          <w:color w:val="000000"/>
          <w:sz w:val="22"/>
          <w:szCs w:val="22"/>
          <w:lang w:val="en-GB"/>
        </w:rPr>
        <w:t xml:space="preserve">is the sampled proportion of passes. See this </w:t>
      </w:r>
      <w:hyperlink r:id="rId15" w:history="1">
        <w:r w:rsidRPr="007E41D1">
          <w:rPr>
            <w:rStyle w:val="Hyperlink"/>
            <w:rFonts w:asciiTheme="minorHAnsi" w:hAnsiTheme="minorHAnsi" w:cstheme="minorHAnsi"/>
            <w:sz w:val="22"/>
            <w:szCs w:val="22"/>
            <w:lang w:val="en-GB"/>
          </w:rPr>
          <w:t>Stack Overflow approach</w:t>
        </w:r>
      </w:hyperlink>
      <w:r w:rsidRPr="007E41D1">
        <w:rPr>
          <w:rFonts w:asciiTheme="minorHAnsi" w:hAnsiTheme="minorHAnsi" w:cstheme="minorHAnsi"/>
          <w:color w:val="000000"/>
          <w:sz w:val="22"/>
          <w:szCs w:val="22"/>
          <w:lang w:val="en-GB"/>
        </w:rPr>
        <w:t xml:space="preserve"> for reference. </w:t>
      </w:r>
    </w:p>
    <w:p w:rsidR="00564AF4" w:rsidRPr="007E41D1" w:rsidRDefault="00564AF4" w:rsidP="00564AF4">
      <w:pPr>
        <w:pStyle w:val="NormalWeb"/>
        <w:shd w:val="clear" w:color="auto" w:fill="FFFFFF"/>
        <w:rPr>
          <w:rFonts w:asciiTheme="minorHAnsi" w:hAnsiTheme="minorHAnsi" w:cstheme="minorHAnsi"/>
          <w:color w:val="000000"/>
          <w:sz w:val="22"/>
          <w:szCs w:val="22"/>
          <w:lang w:val="en-GB"/>
        </w:rPr>
      </w:pPr>
      <w:r w:rsidRPr="007E41D1">
        <w:rPr>
          <w:rFonts w:asciiTheme="minorHAnsi" w:hAnsiTheme="minorHAnsi" w:cstheme="minorHAnsi"/>
          <w:color w:val="000000"/>
          <w:sz w:val="22"/>
          <w:szCs w:val="22"/>
          <w:lang w:val="en-GB"/>
        </w:rPr>
        <w:t xml:space="preserve">Taking a sample size of 20, with a standard 95% confidence level (a </w:t>
      </w:r>
      <w:r w:rsidRPr="007E41D1">
        <w:rPr>
          <w:rFonts w:asciiTheme="minorHAnsi" w:hAnsiTheme="minorHAnsi" w:cstheme="minorHAnsi"/>
          <w:i/>
          <w:color w:val="000000"/>
          <w:sz w:val="22"/>
          <w:szCs w:val="22"/>
          <w:lang w:val="en-GB"/>
        </w:rPr>
        <w:t>z-score</w:t>
      </w:r>
      <w:r w:rsidRPr="007E41D1">
        <w:rPr>
          <w:rFonts w:asciiTheme="minorHAnsi" w:hAnsiTheme="minorHAnsi" w:cstheme="minorHAnsi"/>
          <w:color w:val="000000"/>
          <w:sz w:val="22"/>
          <w:szCs w:val="22"/>
          <w:lang w:val="en-GB"/>
        </w:rPr>
        <w:t xml:space="preserve"> of 1.96), corresponds to a margin of error of 22%. Since we don’t know the true value of </w:t>
      </w:r>
      <w:r w:rsidRPr="007E41D1">
        <w:rPr>
          <w:rFonts w:asciiTheme="minorHAnsi" w:hAnsiTheme="minorHAnsi" w:cstheme="minorHAnsi"/>
          <w:i/>
          <w:color w:val="000000"/>
          <w:sz w:val="22"/>
          <w:szCs w:val="22"/>
          <w:lang w:val="en-GB"/>
        </w:rPr>
        <w:t>p</w:t>
      </w:r>
      <w:r w:rsidRPr="007E41D1">
        <w:rPr>
          <w:rFonts w:asciiTheme="minorHAnsi" w:hAnsiTheme="minorHAnsi" w:cstheme="minorHAnsi"/>
          <w:color w:val="000000"/>
          <w:sz w:val="22"/>
          <w:szCs w:val="22"/>
          <w:lang w:val="en-GB"/>
        </w:rPr>
        <w:t>, for this calculation we can substitute with a marginal value of 0.5 since this is where the margin of error would be highest</w:t>
      </w:r>
      <w:r w:rsidRPr="007E41D1">
        <w:rPr>
          <w:rFonts w:asciiTheme="minorHAnsi" w:hAnsiTheme="minorHAnsi" w:cstheme="minorHAnsi"/>
          <w:color w:val="000000"/>
          <w:sz w:val="22"/>
          <w:szCs w:val="36"/>
          <w:lang w:val="en-GB"/>
        </w:rPr>
        <w:t>:</w:t>
      </w:r>
    </w:p>
    <w:p w:rsidR="00564AF4" w:rsidRPr="007E41D1" w:rsidRDefault="00564AF4" w:rsidP="00564AF4">
      <w:pPr>
        <w:rPr>
          <w:rFonts w:eastAsiaTheme="minorEastAsia" w:cstheme="minorHAnsi"/>
          <w:lang w:val="en-GB"/>
        </w:rPr>
      </w:pPr>
      <m:oMathPara>
        <m:oMath>
          <m:r>
            <w:rPr>
              <w:rFonts w:ascii="Cambria Math" w:hAnsi="Cambria Math" w:cstheme="minorHAnsi"/>
              <w:lang w:val="en-GB"/>
            </w:rPr>
            <m:t>n = p(1-p)</m:t>
          </m:r>
          <m:sSup>
            <m:sSupPr>
              <m:ctrlPr>
                <w:rPr>
                  <w:rFonts w:ascii="Cambria Math" w:hAnsi="Cambria Math" w:cstheme="minorHAnsi"/>
                  <w:i/>
                  <w:lang w:val="en-GB"/>
                </w:rPr>
              </m:ctrlPr>
            </m:sSupPr>
            <m:e>
              <m:d>
                <m:dPr>
                  <m:begChr m:val=""/>
                  <m:ctrlPr>
                    <w:rPr>
                      <w:rFonts w:ascii="Cambria Math" w:hAnsi="Cambria Math" w:cstheme="minorHAnsi"/>
                      <w:i/>
                      <w:lang w:val="en-GB"/>
                    </w:rPr>
                  </m:ctrlPr>
                </m:dPr>
                <m:e>
                  <m:d>
                    <m:dPr>
                      <m:endChr m:val=""/>
                      <m:ctrlPr>
                        <w:rPr>
                          <w:rFonts w:ascii="Cambria Math" w:hAnsi="Cambria Math" w:cstheme="minorHAnsi"/>
                          <w:i/>
                          <w:lang w:val="en-GB"/>
                        </w:rPr>
                      </m:ctrlPr>
                    </m:dPr>
                    <m:e>
                      <m:f>
                        <m:fPr>
                          <m:ctrlPr>
                            <w:rPr>
                              <w:rFonts w:ascii="Cambria Math" w:hAnsi="Cambria Math" w:cstheme="minorHAnsi"/>
                              <w:i/>
                              <w:lang w:val="en-GB"/>
                            </w:rPr>
                          </m:ctrlPr>
                        </m:fPr>
                        <m:num>
                          <m:r>
                            <w:rPr>
                              <w:rFonts w:ascii="Cambria Math" w:hAnsi="Cambria Math" w:cstheme="minorHAnsi"/>
                              <w:lang w:val="en-GB"/>
                            </w:rPr>
                            <m:t>Z</m:t>
                          </m:r>
                        </m:num>
                        <m:den>
                          <m:r>
                            <w:rPr>
                              <w:rFonts w:ascii="Cambria Math" w:hAnsi="Cambria Math" w:cstheme="minorHAnsi"/>
                              <w:lang w:val="en-GB"/>
                            </w:rPr>
                            <m:t>E</m:t>
                          </m:r>
                        </m:den>
                      </m:f>
                    </m:e>
                  </m:d>
                </m:e>
              </m:d>
            </m:e>
            <m:sup>
              <m:r>
                <w:rPr>
                  <w:rFonts w:ascii="Cambria Math" w:hAnsi="Cambria Math" w:cstheme="minorHAnsi"/>
                  <w:lang w:val="en-GB"/>
                </w:rPr>
                <m:t>2</m:t>
              </m:r>
            </m:sup>
          </m:sSup>
        </m:oMath>
      </m:oMathPara>
    </w:p>
    <w:p w:rsidR="00564AF4" w:rsidRPr="007E41D1" w:rsidRDefault="00564AF4" w:rsidP="00564AF4">
      <w:pPr>
        <w:rPr>
          <w:rFonts w:eastAsiaTheme="minorEastAsia" w:cstheme="minorHAnsi"/>
          <w:lang w:val="en-GB"/>
        </w:rPr>
      </w:pPr>
      <m:oMathPara>
        <m:oMath>
          <m:r>
            <w:rPr>
              <w:rFonts w:ascii="Cambria Math" w:hAnsi="Cambria Math" w:cstheme="minorHAnsi"/>
              <w:lang w:val="en-GB"/>
            </w:rPr>
            <m:t xml:space="preserve">E = </m:t>
          </m:r>
          <m:rad>
            <m:radPr>
              <m:degHide m:val="1"/>
              <m:ctrlPr>
                <w:rPr>
                  <w:rFonts w:ascii="Cambria Math" w:hAnsi="Cambria Math" w:cstheme="minorHAnsi"/>
                  <w:i/>
                  <w:lang w:val="en-GB"/>
                </w:rPr>
              </m:ctrlPr>
            </m:radPr>
            <m:deg/>
            <m:e>
              <m:f>
                <m:fPr>
                  <m:ctrlPr>
                    <w:rPr>
                      <w:rFonts w:ascii="Cambria Math" w:hAnsi="Cambria Math" w:cstheme="minorHAnsi"/>
                      <w:i/>
                      <w:lang w:val="en-GB"/>
                    </w:rPr>
                  </m:ctrlPr>
                </m:fPr>
                <m:num>
                  <m:sSup>
                    <m:sSupPr>
                      <m:ctrlPr>
                        <w:rPr>
                          <w:rFonts w:ascii="Cambria Math" w:hAnsi="Cambria Math" w:cstheme="minorHAnsi"/>
                          <w:i/>
                          <w:lang w:val="en-GB"/>
                        </w:rPr>
                      </m:ctrlPr>
                    </m:sSupPr>
                    <m:e>
                      <m:r>
                        <w:rPr>
                          <w:rFonts w:ascii="Cambria Math" w:hAnsi="Cambria Math" w:cstheme="minorHAnsi"/>
                          <w:lang w:val="en-GB"/>
                        </w:rPr>
                        <m:t>Z</m:t>
                      </m:r>
                    </m:e>
                    <m:sup>
                      <m:r>
                        <w:rPr>
                          <w:rFonts w:ascii="Cambria Math" w:hAnsi="Cambria Math" w:cstheme="minorHAnsi"/>
                          <w:lang w:val="en-GB"/>
                        </w:rPr>
                        <m:t>2</m:t>
                      </m:r>
                    </m:sup>
                  </m:sSup>
                  <m:r>
                    <w:rPr>
                      <w:rFonts w:ascii="Cambria Math" w:hAnsi="Cambria Math" w:cstheme="minorHAnsi"/>
                      <w:lang w:val="en-GB"/>
                    </w:rPr>
                    <m:t xml:space="preserve"> p(1-p)</m:t>
                  </m:r>
                </m:num>
                <m:den>
                  <m:r>
                    <w:rPr>
                      <w:rFonts w:ascii="Cambria Math" w:hAnsi="Cambria Math" w:cstheme="minorHAnsi"/>
                      <w:lang w:val="en-GB"/>
                    </w:rPr>
                    <m:t>n</m:t>
                  </m:r>
                </m:den>
              </m:f>
            </m:e>
          </m:rad>
        </m:oMath>
      </m:oMathPara>
    </w:p>
    <w:p w:rsidR="00564AF4" w:rsidRPr="007E41D1" w:rsidRDefault="00564AF4" w:rsidP="00564AF4">
      <w:pPr>
        <w:rPr>
          <w:rFonts w:eastAsiaTheme="minorEastAsia" w:cstheme="minorHAnsi"/>
          <w:lang w:val="en-GB"/>
        </w:rPr>
      </w:pPr>
      <m:oMathPara>
        <m:oMath>
          <m:r>
            <w:rPr>
              <w:rFonts w:ascii="Cambria Math" w:hAnsi="Cambria Math" w:cstheme="minorHAnsi"/>
              <w:lang w:val="en-GB"/>
            </w:rPr>
            <m:t xml:space="preserve">E = </m:t>
          </m:r>
          <m:rad>
            <m:radPr>
              <m:degHide m:val="1"/>
              <m:ctrlPr>
                <w:rPr>
                  <w:rFonts w:ascii="Cambria Math" w:hAnsi="Cambria Math" w:cstheme="minorHAnsi"/>
                  <w:i/>
                  <w:lang w:val="en-GB"/>
                </w:rPr>
              </m:ctrlPr>
            </m:radPr>
            <m:deg/>
            <m:e>
              <m:f>
                <m:fPr>
                  <m:ctrlPr>
                    <w:rPr>
                      <w:rFonts w:ascii="Cambria Math" w:hAnsi="Cambria Math" w:cstheme="minorHAnsi"/>
                      <w:i/>
                      <w:lang w:val="en-GB"/>
                    </w:rPr>
                  </m:ctrlPr>
                </m:fPr>
                <m:num>
                  <m:sSup>
                    <m:sSupPr>
                      <m:ctrlPr>
                        <w:rPr>
                          <w:rFonts w:ascii="Cambria Math" w:hAnsi="Cambria Math" w:cstheme="minorHAnsi"/>
                          <w:i/>
                          <w:lang w:val="en-GB"/>
                        </w:rPr>
                      </m:ctrlPr>
                    </m:sSupPr>
                    <m:e>
                      <m:r>
                        <w:rPr>
                          <w:rFonts w:ascii="Cambria Math" w:hAnsi="Cambria Math" w:cstheme="minorHAnsi"/>
                          <w:lang w:val="en-GB"/>
                        </w:rPr>
                        <m:t>1.96</m:t>
                      </m:r>
                    </m:e>
                    <m:sup>
                      <m:r>
                        <w:rPr>
                          <w:rFonts w:ascii="Cambria Math" w:hAnsi="Cambria Math" w:cstheme="minorHAnsi"/>
                          <w:lang w:val="en-GB"/>
                        </w:rPr>
                        <m:t>2</m:t>
                      </m:r>
                    </m:sup>
                  </m:sSup>
                  <m:r>
                    <w:rPr>
                      <w:rFonts w:ascii="Cambria Math" w:hAnsi="Cambria Math" w:cstheme="minorHAnsi"/>
                      <w:lang w:val="en-GB"/>
                    </w:rPr>
                    <m:t xml:space="preserve"> 0.5(1-0.5)</m:t>
                  </m:r>
                </m:num>
                <m:den>
                  <m:r>
                    <w:rPr>
                      <w:rFonts w:ascii="Cambria Math" w:hAnsi="Cambria Math" w:cstheme="minorHAnsi"/>
                      <w:lang w:val="en-GB"/>
                    </w:rPr>
                    <m:t>20</m:t>
                  </m:r>
                </m:den>
              </m:f>
            </m:e>
          </m:rad>
        </m:oMath>
      </m:oMathPara>
    </w:p>
    <w:p w:rsidR="00564AF4" w:rsidRPr="007E41D1" w:rsidRDefault="00564AF4" w:rsidP="00564AF4">
      <w:pPr>
        <w:pStyle w:val="NormalWeb"/>
        <w:shd w:val="clear" w:color="auto" w:fill="FFFFFF"/>
        <w:rPr>
          <w:rFonts w:asciiTheme="minorHAnsi" w:hAnsiTheme="minorHAnsi" w:cstheme="minorHAnsi"/>
          <w:lang w:val="en-GB"/>
        </w:rPr>
      </w:pPr>
      <m:oMathPara>
        <m:oMath>
          <m:r>
            <w:rPr>
              <w:rFonts w:ascii="Cambria Math" w:hAnsi="Cambria Math" w:cstheme="minorHAnsi"/>
              <w:lang w:val="en-GB"/>
            </w:rPr>
            <m:t>E ≈ 0.22</m:t>
          </m:r>
        </m:oMath>
      </m:oMathPara>
    </w:p>
    <w:p w:rsidR="00564AF4" w:rsidRPr="007E41D1" w:rsidRDefault="00564AF4" w:rsidP="00564AF4">
      <w:pPr>
        <w:pStyle w:val="NormalWeb"/>
        <w:shd w:val="clear" w:color="auto" w:fill="FFFFFF"/>
        <w:rPr>
          <w:rFonts w:asciiTheme="minorHAnsi" w:hAnsiTheme="minorHAnsi" w:cstheme="minorHAnsi"/>
          <w:sz w:val="22"/>
          <w:lang w:val="en-GB"/>
        </w:rPr>
      </w:pPr>
      <w:r w:rsidRPr="007E41D1">
        <w:rPr>
          <w:rFonts w:asciiTheme="minorHAnsi" w:hAnsiTheme="minorHAnsi" w:cstheme="minorHAnsi"/>
          <w:sz w:val="22"/>
          <w:lang w:val="en-GB"/>
        </w:rPr>
        <w:t xml:space="preserve">For a sample of 20 an indicator fails sampling if it scores 9/20 (0.45) or less. In these cases we can have 95% confidence that when an indicator fails sampling: </w:t>
      </w:r>
    </w:p>
    <w:p w:rsidR="00564AF4" w:rsidRPr="007E41D1" w:rsidRDefault="00564AF4" w:rsidP="00564AF4">
      <w:pPr>
        <w:pStyle w:val="NormalWeb"/>
        <w:shd w:val="clear" w:color="auto" w:fill="FFFFFF"/>
        <w:rPr>
          <w:rFonts w:asciiTheme="minorHAnsi" w:hAnsiTheme="minorHAnsi" w:cstheme="minorHAnsi"/>
          <w:sz w:val="22"/>
          <w:lang w:val="en-GB"/>
        </w:rPr>
      </w:pPr>
      <w:r w:rsidRPr="007E41D1">
        <w:rPr>
          <w:rFonts w:asciiTheme="minorHAnsi" w:hAnsiTheme="minorHAnsi" w:cstheme="minorHAnsi"/>
          <w:i/>
          <w:sz w:val="22"/>
          <w:lang w:val="en-GB"/>
        </w:rPr>
        <w:t xml:space="preserve">p </w:t>
      </w:r>
      <w:r w:rsidRPr="007E41D1">
        <w:rPr>
          <w:rFonts w:asciiTheme="minorHAnsi" w:hAnsiTheme="minorHAnsi" w:cstheme="minorHAnsi"/>
          <w:sz w:val="22"/>
          <w:lang w:val="en-GB"/>
        </w:rPr>
        <w:t>&lt; (0.45 + 0.22)</w:t>
      </w:r>
    </w:p>
    <w:p w:rsidR="00564AF4" w:rsidRPr="007E41D1" w:rsidRDefault="00564AF4" w:rsidP="00564AF4">
      <w:pPr>
        <w:pStyle w:val="NormalWeb"/>
        <w:shd w:val="clear" w:color="auto" w:fill="FFFFFF"/>
        <w:rPr>
          <w:rFonts w:asciiTheme="minorHAnsi" w:hAnsiTheme="minorHAnsi" w:cstheme="minorHAnsi"/>
          <w:sz w:val="22"/>
          <w:lang w:val="en-GB"/>
        </w:rPr>
      </w:pPr>
      <w:r w:rsidRPr="007E41D1">
        <w:rPr>
          <w:rFonts w:asciiTheme="minorHAnsi" w:hAnsiTheme="minorHAnsi" w:cstheme="minorHAnsi"/>
          <w:i/>
          <w:sz w:val="22"/>
          <w:lang w:val="en-GB"/>
        </w:rPr>
        <w:t xml:space="preserve">p </w:t>
      </w:r>
      <w:r w:rsidRPr="007E41D1">
        <w:rPr>
          <w:rFonts w:asciiTheme="minorHAnsi" w:hAnsiTheme="minorHAnsi" w:cstheme="minorHAnsi"/>
          <w:sz w:val="22"/>
          <w:lang w:val="en-GB"/>
        </w:rPr>
        <w:t>&lt; 0.67</w:t>
      </w:r>
    </w:p>
    <w:p w:rsidR="00564AF4" w:rsidRPr="007E41D1" w:rsidRDefault="00D935C4" w:rsidP="00564AF4">
      <w:pPr>
        <w:pStyle w:val="NormalWeb"/>
        <w:shd w:val="clear" w:color="auto" w:fill="FFFFFF"/>
        <w:rPr>
          <w:rFonts w:asciiTheme="minorHAnsi" w:hAnsiTheme="minorHAnsi" w:cstheme="minorHAnsi"/>
          <w:sz w:val="22"/>
          <w:lang w:val="en-GB"/>
        </w:rPr>
      </w:pPr>
      <w:r>
        <w:rPr>
          <w:rFonts w:asciiTheme="minorHAnsi" w:hAnsiTheme="minorHAnsi" w:cstheme="minorHAnsi"/>
          <w:sz w:val="22"/>
          <w:lang w:val="en-GB"/>
        </w:rPr>
        <w:t>T</w:t>
      </w:r>
      <w:r w:rsidR="00E45A5E">
        <w:rPr>
          <w:rFonts w:asciiTheme="minorHAnsi" w:hAnsiTheme="minorHAnsi" w:cstheme="minorHAnsi"/>
          <w:sz w:val="22"/>
          <w:lang w:val="en-GB"/>
        </w:rPr>
        <w:t>he consequences of failing sampling are to lose the IATI points for that indicator</w:t>
      </w:r>
      <w:r>
        <w:rPr>
          <w:rFonts w:asciiTheme="minorHAnsi" w:hAnsiTheme="minorHAnsi" w:cstheme="minorHAnsi"/>
          <w:sz w:val="22"/>
          <w:lang w:val="en-GB"/>
        </w:rPr>
        <w:t>. This can have a significant impact on the publisher’s overall score. Given this,</w:t>
      </w:r>
      <w:r w:rsidR="00E45A5E">
        <w:rPr>
          <w:rFonts w:asciiTheme="minorHAnsi" w:hAnsiTheme="minorHAnsi" w:cstheme="minorHAnsi"/>
          <w:sz w:val="22"/>
          <w:lang w:val="en-GB"/>
        </w:rPr>
        <w:t xml:space="preserve"> we are careful to only fail an indicator if we are confident that a significant proportion of a publisher’s data </w:t>
      </w:r>
      <w:r>
        <w:rPr>
          <w:rFonts w:asciiTheme="minorHAnsi" w:hAnsiTheme="minorHAnsi" w:cstheme="minorHAnsi"/>
          <w:sz w:val="22"/>
          <w:lang w:val="en-GB"/>
        </w:rPr>
        <w:t xml:space="preserve">would not meet our criteria. </w:t>
      </w:r>
      <w:r w:rsidR="00564AF4" w:rsidRPr="007E41D1">
        <w:rPr>
          <w:rFonts w:asciiTheme="minorHAnsi" w:hAnsiTheme="minorHAnsi" w:cstheme="minorHAnsi"/>
          <w:sz w:val="22"/>
          <w:lang w:val="en-GB"/>
        </w:rPr>
        <w:t xml:space="preserve">We feel that it is reasonable to fail an indicator if we are confident that a third or more of that publisher’s data would not pass our quality tests. </w:t>
      </w:r>
      <w:r>
        <w:rPr>
          <w:rFonts w:asciiTheme="minorHAnsi" w:hAnsiTheme="minorHAnsi" w:cstheme="minorHAnsi"/>
          <w:sz w:val="22"/>
          <w:lang w:val="en-GB"/>
        </w:rPr>
        <w:t>W</w:t>
      </w:r>
      <w:r w:rsidRPr="007E41D1">
        <w:rPr>
          <w:rFonts w:asciiTheme="minorHAnsi" w:hAnsiTheme="minorHAnsi" w:cstheme="minorHAnsi"/>
          <w:sz w:val="22"/>
          <w:lang w:val="en-GB"/>
        </w:rPr>
        <w:t>e will keep the sample size of 20</w:t>
      </w:r>
      <w:r>
        <w:rPr>
          <w:rFonts w:asciiTheme="minorHAnsi" w:hAnsiTheme="minorHAnsi" w:cstheme="minorHAnsi"/>
          <w:sz w:val="22"/>
          <w:lang w:val="en-GB"/>
        </w:rPr>
        <w:t xml:space="preserve"> for the second round of sampling since these results are reflected in final Index scores.</w:t>
      </w:r>
    </w:p>
    <w:p w:rsidR="00564AF4" w:rsidRPr="007E41D1" w:rsidRDefault="00564AF4" w:rsidP="00564AF4">
      <w:pPr>
        <w:pStyle w:val="NormalWeb"/>
        <w:shd w:val="clear" w:color="auto" w:fill="FFFFFF"/>
        <w:rPr>
          <w:rFonts w:asciiTheme="minorHAnsi" w:hAnsiTheme="minorHAnsi" w:cstheme="minorHAnsi"/>
          <w:sz w:val="22"/>
          <w:u w:val="single"/>
          <w:lang w:val="en-GB"/>
        </w:rPr>
      </w:pPr>
      <w:r w:rsidRPr="007E41D1">
        <w:rPr>
          <w:rFonts w:asciiTheme="minorHAnsi" w:hAnsiTheme="minorHAnsi" w:cstheme="minorHAnsi"/>
          <w:sz w:val="22"/>
          <w:u w:val="single"/>
          <w:lang w:val="en-GB"/>
        </w:rPr>
        <w:t>First round of sampling</w:t>
      </w:r>
    </w:p>
    <w:p w:rsidR="00564AF4" w:rsidRPr="007E41D1" w:rsidRDefault="00564AF4" w:rsidP="00564AF4">
      <w:pPr>
        <w:pStyle w:val="NormalWeb"/>
        <w:shd w:val="clear" w:color="auto" w:fill="FFFFFF"/>
        <w:rPr>
          <w:rFonts w:asciiTheme="minorHAnsi" w:hAnsiTheme="minorHAnsi" w:cstheme="minorHAnsi"/>
          <w:sz w:val="22"/>
          <w:lang w:val="en-GB"/>
        </w:rPr>
      </w:pPr>
      <w:r w:rsidRPr="007E41D1">
        <w:rPr>
          <w:rFonts w:asciiTheme="minorHAnsi" w:hAnsiTheme="minorHAnsi" w:cstheme="minorHAnsi"/>
          <w:sz w:val="22"/>
          <w:lang w:val="en-GB"/>
        </w:rPr>
        <w:t xml:space="preserve">We propose to use a sample size of 12 for the first round of sampling. The purpose of the first round of sampling is to provide an indication of current performance and to let </w:t>
      </w:r>
      <w:r w:rsidR="009945DD">
        <w:rPr>
          <w:rFonts w:asciiTheme="minorHAnsi" w:hAnsiTheme="minorHAnsi" w:cstheme="minorHAnsi"/>
          <w:sz w:val="22"/>
          <w:lang w:val="en-GB"/>
        </w:rPr>
        <w:t>publisher</w:t>
      </w:r>
      <w:r w:rsidRPr="007E41D1">
        <w:rPr>
          <w:rFonts w:asciiTheme="minorHAnsi" w:hAnsiTheme="minorHAnsi" w:cstheme="minorHAnsi"/>
          <w:sz w:val="22"/>
          <w:lang w:val="en-GB"/>
        </w:rPr>
        <w:t xml:space="preserve">s know if there are issues with their data quality which should be fixed in order to improve the chances of passing in the second round of sampling. </w:t>
      </w:r>
    </w:p>
    <w:p w:rsidR="00564AF4" w:rsidRPr="007E41D1" w:rsidRDefault="00564AF4" w:rsidP="00564AF4">
      <w:pPr>
        <w:pStyle w:val="NormalWeb"/>
        <w:shd w:val="clear" w:color="auto" w:fill="FFFFFF"/>
        <w:rPr>
          <w:rFonts w:asciiTheme="minorHAnsi" w:hAnsiTheme="minorHAnsi" w:cstheme="minorHAnsi"/>
          <w:color w:val="000000"/>
          <w:sz w:val="22"/>
          <w:szCs w:val="22"/>
          <w:lang w:val="en-GB"/>
        </w:rPr>
      </w:pPr>
      <w:r w:rsidRPr="007E41D1">
        <w:rPr>
          <w:rFonts w:asciiTheme="minorHAnsi" w:hAnsiTheme="minorHAnsi" w:cstheme="minorHAnsi"/>
          <w:sz w:val="22"/>
          <w:lang w:val="en-GB"/>
        </w:rPr>
        <w:t>A marginal pass with a sample size of 12 would be at 6/12, or 0.5. The margin of error in this case, at the 95% confidence level, would be 28%, so a marginal pass could include 0.5 - 0.28 = 0.22 within the confidence interval. For this reason, we advise publishers when they pass close to the margin since this places them at risk of failing in the second round of sampling.  Using the margins of error and confidence intervals we can calculate for which passing scores we should alert publishers that they are at risk of failing in the second round. We would want to alert publishers in cases where</w:t>
      </w:r>
      <w:r w:rsidR="00D935C4">
        <w:rPr>
          <w:rFonts w:asciiTheme="minorHAnsi" w:hAnsiTheme="minorHAnsi" w:cstheme="minorHAnsi"/>
          <w:sz w:val="22"/>
          <w:lang w:val="en-GB"/>
        </w:rPr>
        <w:t xml:space="preserve"> it is possible that</w:t>
      </w:r>
      <w:r w:rsidRPr="007E41D1">
        <w:rPr>
          <w:rFonts w:asciiTheme="minorHAnsi" w:hAnsiTheme="minorHAnsi" w:cstheme="minorHAnsi"/>
          <w:sz w:val="22"/>
          <w:lang w:val="en-GB"/>
        </w:rPr>
        <w:t xml:space="preserve"> </w:t>
      </w:r>
      <w:r w:rsidRPr="007E41D1">
        <w:rPr>
          <w:rFonts w:asciiTheme="minorHAnsi" w:hAnsiTheme="minorHAnsi" w:cstheme="minorHAnsi"/>
          <w:i/>
          <w:color w:val="000000"/>
          <w:sz w:val="22"/>
          <w:szCs w:val="22"/>
          <w:lang w:val="en-GB"/>
        </w:rPr>
        <w:t>p̂</w:t>
      </w:r>
      <w:r w:rsidRPr="007E41D1">
        <w:rPr>
          <w:rFonts w:asciiTheme="minorHAnsi" w:hAnsiTheme="minorHAnsi" w:cstheme="minorHAnsi"/>
          <w:color w:val="000000"/>
          <w:sz w:val="22"/>
          <w:szCs w:val="22"/>
          <w:lang w:val="en-GB"/>
        </w:rPr>
        <w:t xml:space="preserve"> ≥ 0.5 ∩ </w:t>
      </w:r>
      <w:r w:rsidRPr="007E41D1">
        <w:rPr>
          <w:rFonts w:asciiTheme="minorHAnsi" w:hAnsiTheme="minorHAnsi" w:cstheme="minorHAnsi"/>
          <w:i/>
          <w:color w:val="000000"/>
          <w:sz w:val="22"/>
          <w:szCs w:val="22"/>
          <w:lang w:val="en-GB"/>
        </w:rPr>
        <w:t xml:space="preserve">p </w:t>
      </w:r>
      <w:r w:rsidRPr="007E41D1">
        <w:rPr>
          <w:rFonts w:asciiTheme="minorHAnsi" w:hAnsiTheme="minorHAnsi" w:cstheme="minorHAnsi"/>
          <w:color w:val="000000"/>
          <w:sz w:val="22"/>
          <w:szCs w:val="22"/>
          <w:lang w:val="en-GB"/>
        </w:rPr>
        <w:t xml:space="preserve">&lt; 0.5, to the 95% confidence level. Using a sample size of 12, with a result of 0.75, </w:t>
      </w:r>
      <w:r w:rsidRPr="007E41D1">
        <w:rPr>
          <w:rFonts w:asciiTheme="minorHAnsi" w:hAnsiTheme="minorHAnsi" w:cstheme="minorHAnsi"/>
          <w:i/>
          <w:color w:val="000000"/>
          <w:sz w:val="22"/>
          <w:szCs w:val="22"/>
          <w:lang w:val="en-GB"/>
        </w:rPr>
        <w:t>E</w:t>
      </w:r>
      <w:r w:rsidRPr="007E41D1">
        <w:rPr>
          <w:rFonts w:asciiTheme="minorHAnsi" w:hAnsiTheme="minorHAnsi" w:cstheme="minorHAnsi"/>
          <w:color w:val="000000"/>
          <w:sz w:val="22"/>
          <w:szCs w:val="22"/>
          <w:lang w:val="en-GB"/>
        </w:rPr>
        <w:t xml:space="preserve">=0.245. </w:t>
      </w:r>
    </w:p>
    <w:p w:rsidR="00564AF4" w:rsidRPr="007E41D1" w:rsidRDefault="00564AF4" w:rsidP="00564AF4">
      <w:pPr>
        <w:pStyle w:val="NormalWeb"/>
        <w:shd w:val="clear" w:color="auto" w:fill="FFFFFF"/>
        <w:rPr>
          <w:rFonts w:asciiTheme="minorHAnsi" w:hAnsiTheme="minorHAnsi" w:cstheme="minorHAnsi"/>
          <w:color w:val="000000"/>
          <w:sz w:val="22"/>
          <w:szCs w:val="22"/>
          <w:lang w:val="en-GB"/>
        </w:rPr>
      </w:pPr>
      <w:r w:rsidRPr="007E41D1">
        <w:rPr>
          <w:rFonts w:asciiTheme="minorHAnsi" w:hAnsiTheme="minorHAnsi" w:cstheme="minorHAnsi"/>
          <w:color w:val="000000"/>
          <w:sz w:val="22"/>
          <w:szCs w:val="22"/>
          <w:lang w:val="en-GB"/>
        </w:rPr>
        <w:t xml:space="preserve">0.75 - 0.245 = 0.505 </w:t>
      </w:r>
    </w:p>
    <w:p w:rsidR="00564AF4" w:rsidRPr="007E41D1" w:rsidRDefault="00564AF4" w:rsidP="00564AF4">
      <w:pPr>
        <w:pStyle w:val="NormalWeb"/>
        <w:shd w:val="clear" w:color="auto" w:fill="FFFFFF"/>
        <w:rPr>
          <w:rFonts w:asciiTheme="minorHAnsi" w:hAnsiTheme="minorHAnsi" w:cstheme="minorHAnsi"/>
          <w:color w:val="000000"/>
          <w:sz w:val="22"/>
          <w:szCs w:val="22"/>
          <w:lang w:val="en-GB"/>
        </w:rPr>
      </w:pPr>
      <w:r w:rsidRPr="007E41D1">
        <w:rPr>
          <w:rFonts w:asciiTheme="minorHAnsi" w:hAnsiTheme="minorHAnsi" w:cstheme="minorHAnsi"/>
          <w:color w:val="000000"/>
          <w:sz w:val="22"/>
          <w:szCs w:val="22"/>
          <w:lang w:val="en-GB"/>
        </w:rPr>
        <w:t>Since 0.505 &gt; 0.5, we can be 95% confident that when</w:t>
      </w:r>
      <w:r w:rsidRPr="007E41D1">
        <w:rPr>
          <w:rFonts w:asciiTheme="minorHAnsi" w:hAnsiTheme="minorHAnsi" w:cstheme="minorHAnsi"/>
          <w:i/>
          <w:color w:val="000000"/>
          <w:sz w:val="22"/>
          <w:szCs w:val="22"/>
          <w:lang w:val="en-GB"/>
        </w:rPr>
        <w:t xml:space="preserve"> p̂ </w:t>
      </w:r>
      <w:r w:rsidR="00FF307C" w:rsidRPr="007E41D1">
        <w:rPr>
          <w:rFonts w:asciiTheme="minorHAnsi" w:hAnsiTheme="minorHAnsi" w:cstheme="minorHAnsi"/>
          <w:color w:val="000000"/>
          <w:sz w:val="22"/>
          <w:szCs w:val="22"/>
          <w:lang w:val="en-GB"/>
        </w:rPr>
        <w:t>≥</w:t>
      </w:r>
      <w:r w:rsidR="00FF307C">
        <w:rPr>
          <w:rFonts w:asciiTheme="minorHAnsi" w:hAnsiTheme="minorHAnsi" w:cstheme="minorHAnsi"/>
          <w:color w:val="000000"/>
          <w:sz w:val="22"/>
          <w:szCs w:val="22"/>
          <w:lang w:val="en-GB"/>
        </w:rPr>
        <w:t xml:space="preserve"> </w:t>
      </w:r>
      <w:r w:rsidRPr="007E41D1">
        <w:rPr>
          <w:rFonts w:asciiTheme="minorHAnsi" w:hAnsiTheme="minorHAnsi" w:cstheme="minorHAnsi"/>
          <w:color w:val="000000"/>
          <w:sz w:val="22"/>
          <w:szCs w:val="22"/>
          <w:lang w:val="en-GB"/>
        </w:rPr>
        <w:t>0.75,</w:t>
      </w:r>
      <w:r w:rsidRPr="007E41D1">
        <w:rPr>
          <w:rFonts w:asciiTheme="minorHAnsi" w:hAnsiTheme="minorHAnsi" w:cstheme="minorHAnsi"/>
          <w:i/>
          <w:color w:val="000000"/>
          <w:sz w:val="22"/>
          <w:szCs w:val="22"/>
          <w:lang w:val="en-GB"/>
        </w:rPr>
        <w:t xml:space="preserve"> p </w:t>
      </w:r>
      <w:r w:rsidRPr="007E41D1">
        <w:rPr>
          <w:rFonts w:asciiTheme="minorHAnsi" w:hAnsiTheme="minorHAnsi" w:cstheme="minorHAnsi"/>
          <w:color w:val="000000"/>
          <w:sz w:val="22"/>
          <w:szCs w:val="22"/>
          <w:lang w:val="en-GB"/>
        </w:rPr>
        <w:t>&gt; 0.5. So, we would alert publishers when</w:t>
      </w:r>
      <w:r w:rsidR="00D935C4">
        <w:rPr>
          <w:rFonts w:asciiTheme="minorHAnsi" w:hAnsiTheme="minorHAnsi" w:cstheme="minorHAnsi"/>
          <w:color w:val="000000"/>
          <w:sz w:val="22"/>
          <w:szCs w:val="22"/>
          <w:lang w:val="en-GB"/>
        </w:rPr>
        <w:t xml:space="preserve"> th</w:t>
      </w:r>
      <w:r w:rsidR="00FF307C">
        <w:rPr>
          <w:rFonts w:asciiTheme="minorHAnsi" w:hAnsiTheme="minorHAnsi" w:cstheme="minorHAnsi"/>
          <w:color w:val="000000"/>
          <w:sz w:val="22"/>
          <w:szCs w:val="22"/>
          <w:lang w:val="en-GB"/>
        </w:rPr>
        <w:t>ey</w:t>
      </w:r>
      <w:r w:rsidR="00D935C4">
        <w:rPr>
          <w:rFonts w:asciiTheme="minorHAnsi" w:hAnsiTheme="minorHAnsi" w:cstheme="minorHAnsi"/>
          <w:color w:val="000000"/>
          <w:sz w:val="22"/>
          <w:szCs w:val="22"/>
          <w:lang w:val="en-GB"/>
        </w:rPr>
        <w:t xml:space="preserve"> pass</w:t>
      </w:r>
      <w:r w:rsidR="00FF307C">
        <w:rPr>
          <w:rFonts w:asciiTheme="minorHAnsi" w:hAnsiTheme="minorHAnsi" w:cstheme="minorHAnsi"/>
          <w:color w:val="000000"/>
          <w:sz w:val="22"/>
          <w:szCs w:val="22"/>
          <w:lang w:val="en-GB"/>
        </w:rPr>
        <w:t xml:space="preserve"> the first round of sampling but</w:t>
      </w:r>
      <w:r w:rsidRPr="007E41D1">
        <w:rPr>
          <w:rFonts w:asciiTheme="minorHAnsi" w:hAnsiTheme="minorHAnsi" w:cstheme="minorHAnsi"/>
          <w:color w:val="000000"/>
          <w:sz w:val="22"/>
          <w:szCs w:val="22"/>
          <w:lang w:val="en-GB"/>
        </w:rPr>
        <w:t xml:space="preserve"> </w:t>
      </w:r>
      <w:r w:rsidRPr="007E41D1">
        <w:rPr>
          <w:rFonts w:asciiTheme="minorHAnsi" w:hAnsiTheme="minorHAnsi" w:cstheme="minorHAnsi"/>
          <w:i/>
          <w:color w:val="000000"/>
          <w:sz w:val="22"/>
          <w:szCs w:val="22"/>
          <w:lang w:val="en-GB"/>
        </w:rPr>
        <w:t xml:space="preserve">p̂ </w:t>
      </w:r>
      <w:r w:rsidRPr="007E41D1">
        <w:rPr>
          <w:rFonts w:asciiTheme="minorHAnsi" w:hAnsiTheme="minorHAnsi" w:cstheme="minorHAnsi"/>
          <w:color w:val="000000"/>
          <w:sz w:val="22"/>
          <w:szCs w:val="22"/>
          <w:lang w:val="en-GB"/>
        </w:rPr>
        <w:t xml:space="preserve">&lt; 0.75, </w:t>
      </w:r>
      <w:r w:rsidR="006E0D5A">
        <w:rPr>
          <w:rFonts w:asciiTheme="minorHAnsi" w:hAnsiTheme="minorHAnsi" w:cstheme="minorHAnsi"/>
          <w:color w:val="000000"/>
          <w:sz w:val="22"/>
          <w:szCs w:val="22"/>
          <w:lang w:val="en-GB"/>
        </w:rPr>
        <w:t>in other words,</w:t>
      </w:r>
      <w:r w:rsidRPr="007E41D1">
        <w:rPr>
          <w:rFonts w:asciiTheme="minorHAnsi" w:hAnsiTheme="minorHAnsi" w:cstheme="minorHAnsi"/>
          <w:color w:val="000000"/>
          <w:sz w:val="22"/>
          <w:szCs w:val="22"/>
          <w:lang w:val="en-GB"/>
        </w:rPr>
        <w:t xml:space="preserve"> when </w:t>
      </w:r>
      <w:r w:rsidR="006E0D5A">
        <w:rPr>
          <w:rFonts w:asciiTheme="minorHAnsi" w:hAnsiTheme="minorHAnsi" w:cstheme="minorHAnsi"/>
          <w:color w:val="000000"/>
          <w:sz w:val="22"/>
          <w:szCs w:val="22"/>
          <w:lang w:val="en-GB"/>
        </w:rPr>
        <w:t>they pass with a result of</w:t>
      </w:r>
      <w:r w:rsidRPr="007E41D1">
        <w:rPr>
          <w:rFonts w:asciiTheme="minorHAnsi" w:hAnsiTheme="minorHAnsi" w:cstheme="minorHAnsi"/>
          <w:color w:val="000000"/>
          <w:sz w:val="22"/>
          <w:szCs w:val="22"/>
          <w:lang w:val="en-GB"/>
        </w:rPr>
        <w:t xml:space="preserve"> 6, 7 or 8 out of 12. If the result is 9, 10, 11 or 12 out of 12, </w:t>
      </w:r>
      <w:r w:rsidR="00FF307C">
        <w:rPr>
          <w:rFonts w:asciiTheme="minorHAnsi" w:hAnsiTheme="minorHAnsi" w:cstheme="minorHAnsi"/>
          <w:color w:val="000000"/>
          <w:sz w:val="22"/>
          <w:szCs w:val="22"/>
          <w:lang w:val="en-GB"/>
        </w:rPr>
        <w:t>we are confident</w:t>
      </w:r>
      <w:r w:rsidRPr="007E41D1">
        <w:rPr>
          <w:rFonts w:asciiTheme="minorHAnsi" w:hAnsiTheme="minorHAnsi" w:cstheme="minorHAnsi"/>
          <w:color w:val="000000"/>
          <w:sz w:val="22"/>
          <w:szCs w:val="22"/>
          <w:lang w:val="en-GB"/>
        </w:rPr>
        <w:t xml:space="preserve"> that</w:t>
      </w:r>
      <w:r w:rsidR="00FF307C">
        <w:rPr>
          <w:rFonts w:asciiTheme="minorHAnsi" w:hAnsiTheme="minorHAnsi" w:cstheme="minorHAnsi"/>
          <w:color w:val="000000"/>
          <w:sz w:val="22"/>
          <w:szCs w:val="22"/>
          <w:lang w:val="en-GB"/>
        </w:rPr>
        <w:t xml:space="preserve"> </w:t>
      </w:r>
      <w:r w:rsidR="00D44FB2" w:rsidRPr="007E41D1">
        <w:rPr>
          <w:rFonts w:asciiTheme="minorHAnsi" w:hAnsiTheme="minorHAnsi" w:cstheme="minorHAnsi"/>
          <w:i/>
          <w:color w:val="000000"/>
          <w:sz w:val="22"/>
          <w:szCs w:val="22"/>
          <w:lang w:val="en-GB"/>
        </w:rPr>
        <w:t xml:space="preserve">p </w:t>
      </w:r>
      <w:r w:rsidR="00D44FB2" w:rsidRPr="007E41D1">
        <w:rPr>
          <w:rFonts w:asciiTheme="minorHAnsi" w:hAnsiTheme="minorHAnsi" w:cstheme="minorHAnsi"/>
          <w:color w:val="000000"/>
          <w:sz w:val="22"/>
          <w:szCs w:val="22"/>
          <w:lang w:val="en-GB"/>
        </w:rPr>
        <w:t>&gt; 0.5</w:t>
      </w:r>
      <w:r w:rsidRPr="007E41D1">
        <w:rPr>
          <w:rFonts w:asciiTheme="minorHAnsi" w:hAnsiTheme="minorHAnsi" w:cstheme="minorHAnsi"/>
          <w:color w:val="000000"/>
          <w:sz w:val="22"/>
          <w:szCs w:val="22"/>
          <w:lang w:val="en-GB"/>
        </w:rPr>
        <w:t xml:space="preserve"> </w:t>
      </w:r>
      <w:r w:rsidR="00D44FB2">
        <w:rPr>
          <w:rFonts w:asciiTheme="minorHAnsi" w:hAnsiTheme="minorHAnsi" w:cstheme="minorHAnsi"/>
          <w:color w:val="000000"/>
          <w:sz w:val="22"/>
          <w:szCs w:val="22"/>
          <w:lang w:val="en-GB"/>
        </w:rPr>
        <w:t xml:space="preserve">and </w:t>
      </w:r>
      <w:r w:rsidRPr="007E41D1">
        <w:rPr>
          <w:rFonts w:asciiTheme="minorHAnsi" w:hAnsiTheme="minorHAnsi" w:cstheme="minorHAnsi"/>
          <w:color w:val="000000"/>
          <w:sz w:val="22"/>
          <w:szCs w:val="22"/>
          <w:lang w:val="en-GB"/>
        </w:rPr>
        <w:t>the data is of high enough quality to pass in the second round.</w:t>
      </w:r>
    </w:p>
    <w:p w:rsidR="00564AF4" w:rsidRPr="007E41D1" w:rsidRDefault="00564AF4" w:rsidP="00564AF4">
      <w:pPr>
        <w:pStyle w:val="Heading2"/>
        <w:rPr>
          <w:rFonts w:asciiTheme="minorHAnsi" w:hAnsiTheme="minorHAnsi" w:cstheme="minorHAnsi"/>
          <w:color w:val="000000"/>
          <w:sz w:val="22"/>
          <w:szCs w:val="22"/>
          <w:lang w:val="en-GB"/>
        </w:rPr>
      </w:pPr>
      <w:bookmarkStart w:id="15" w:name="_Toc65502296"/>
      <w:bookmarkStart w:id="16" w:name="_Toc66108867"/>
      <w:r w:rsidRPr="007E41D1">
        <w:rPr>
          <w:lang w:val="en-GB"/>
        </w:rPr>
        <w:t>Changes to technical paper</w:t>
      </w:r>
      <w:bookmarkEnd w:id="15"/>
      <w:bookmarkEnd w:id="16"/>
    </w:p>
    <w:p w:rsidR="00564AF4" w:rsidRPr="007E41D1" w:rsidRDefault="00564AF4" w:rsidP="00564AF4">
      <w:pPr>
        <w:pStyle w:val="NormalWeb"/>
        <w:shd w:val="clear" w:color="auto" w:fill="FFFFFF"/>
        <w:rPr>
          <w:rFonts w:asciiTheme="minorHAnsi" w:hAnsiTheme="minorHAnsi" w:cstheme="minorHAnsi"/>
          <w:color w:val="000000"/>
          <w:sz w:val="22"/>
          <w:szCs w:val="22"/>
          <w:lang w:val="en-GB"/>
        </w:rPr>
      </w:pPr>
      <w:r w:rsidRPr="007E41D1">
        <w:rPr>
          <w:rFonts w:asciiTheme="minorHAnsi" w:hAnsiTheme="minorHAnsi" w:cstheme="minorHAnsi"/>
          <w:color w:val="000000"/>
          <w:sz w:val="22"/>
          <w:szCs w:val="22"/>
          <w:lang w:val="en-GB"/>
        </w:rPr>
        <w:t>(...)</w:t>
      </w:r>
    </w:p>
    <w:p w:rsidR="00564AF4" w:rsidRPr="007E41D1" w:rsidRDefault="00564AF4" w:rsidP="00564AF4">
      <w:pPr>
        <w:spacing w:line="240" w:lineRule="auto"/>
        <w:rPr>
          <w:rFonts w:ascii="Montserrat" w:hAnsi="Montserrat"/>
          <w:b/>
          <w:sz w:val="20"/>
          <w:lang w:val="en-GB"/>
        </w:rPr>
      </w:pPr>
      <w:r w:rsidRPr="007E41D1">
        <w:rPr>
          <w:rFonts w:ascii="Montserrat" w:hAnsi="Montserrat"/>
          <w:sz w:val="20"/>
          <w:szCs w:val="20"/>
          <w:lang w:val="en-GB"/>
        </w:rPr>
        <w:t xml:space="preserve">Manual checks and sampling are conducted twice: first, as part of the initial assessment and second, at the end of data collection. The results of the first round of manual checks and sampling are shared with the donor organisation, giving them the chance to fix any issues. </w:t>
      </w:r>
    </w:p>
    <w:p w:rsidR="00564AF4" w:rsidRPr="007E41D1" w:rsidRDefault="00564AF4" w:rsidP="00564AF4">
      <w:pPr>
        <w:pStyle w:val="NormalWeb"/>
        <w:shd w:val="clear" w:color="auto" w:fill="FFFFFF"/>
        <w:rPr>
          <w:rFonts w:asciiTheme="minorHAnsi" w:hAnsiTheme="minorHAnsi" w:cstheme="minorHAnsi"/>
          <w:color w:val="000000"/>
          <w:sz w:val="22"/>
          <w:szCs w:val="22"/>
          <w:lang w:val="en-GB"/>
        </w:rPr>
      </w:pPr>
      <w:r w:rsidRPr="007E41D1">
        <w:rPr>
          <w:rFonts w:asciiTheme="minorHAnsi" w:hAnsiTheme="minorHAnsi" w:cstheme="minorHAnsi"/>
          <w:color w:val="000000"/>
          <w:sz w:val="22"/>
          <w:szCs w:val="22"/>
          <w:lang w:val="en-GB"/>
        </w:rPr>
        <w:t>(…)</w:t>
      </w:r>
    </w:p>
    <w:p w:rsidR="00564AF4" w:rsidRPr="007E41D1" w:rsidRDefault="00564AF4" w:rsidP="00564AF4">
      <w:pPr>
        <w:spacing w:line="240" w:lineRule="auto"/>
        <w:rPr>
          <w:rFonts w:ascii="Montserrat" w:hAnsi="Montserrat"/>
          <w:sz w:val="20"/>
          <w:szCs w:val="20"/>
          <w:lang w:val="en-GB"/>
        </w:rPr>
      </w:pPr>
      <w:r w:rsidRPr="007E41D1">
        <w:rPr>
          <w:rFonts w:ascii="Montserrat" w:hAnsi="Montserrat"/>
          <w:sz w:val="20"/>
          <w:szCs w:val="20"/>
          <w:lang w:val="en-GB"/>
        </w:rPr>
        <w:t xml:space="preserve">For individual projects and operations, 11 indicators are sampled to manually verify that the information provided meets the required criteria and definition against which they are being scored. </w:t>
      </w:r>
      <w:r w:rsidRPr="00CA5DD3">
        <w:rPr>
          <w:rFonts w:ascii="Montserrat" w:hAnsi="Montserrat"/>
          <w:color w:val="FF0000"/>
          <w:sz w:val="20"/>
          <w:szCs w:val="20"/>
          <w:lang w:val="en-GB"/>
        </w:rPr>
        <w:t xml:space="preserve">A first round of sampling is carried out at the start of the data collection process after the first set of data is downloaded. Where indicators failed sampling or passed on the margin, feedback is provided identifying the </w:t>
      </w:r>
      <w:r w:rsidR="009B4FBA" w:rsidRPr="00CA5DD3">
        <w:rPr>
          <w:rFonts w:ascii="Montserrat" w:hAnsi="Montserrat"/>
          <w:color w:val="FF0000"/>
          <w:sz w:val="20"/>
          <w:szCs w:val="20"/>
          <w:lang w:val="en-GB"/>
        </w:rPr>
        <w:t>problems</w:t>
      </w:r>
      <w:r w:rsidRPr="00CA5DD3">
        <w:rPr>
          <w:rFonts w:ascii="Montserrat" w:hAnsi="Montserrat"/>
          <w:color w:val="FF0000"/>
          <w:sz w:val="20"/>
          <w:szCs w:val="20"/>
          <w:lang w:val="en-GB"/>
        </w:rPr>
        <w:t xml:space="preserve"> with the data so </w:t>
      </w:r>
      <w:r w:rsidR="009945DD" w:rsidRPr="00CA5DD3">
        <w:rPr>
          <w:rFonts w:ascii="Montserrat" w:hAnsi="Montserrat"/>
          <w:color w:val="FF0000"/>
          <w:sz w:val="20"/>
          <w:szCs w:val="20"/>
          <w:lang w:val="en-GB"/>
        </w:rPr>
        <w:t>publisher</w:t>
      </w:r>
      <w:r w:rsidRPr="00CA5DD3">
        <w:rPr>
          <w:rFonts w:ascii="Montserrat" w:hAnsi="Montserrat"/>
          <w:color w:val="FF0000"/>
          <w:sz w:val="20"/>
          <w:szCs w:val="20"/>
          <w:lang w:val="en-GB"/>
        </w:rPr>
        <w:t>s can fix issues before the final data download</w:t>
      </w:r>
      <w:r w:rsidR="009B4FBA" w:rsidRPr="00CA5DD3">
        <w:rPr>
          <w:rFonts w:ascii="Montserrat" w:hAnsi="Montserrat"/>
          <w:color w:val="FF0000"/>
          <w:sz w:val="20"/>
          <w:szCs w:val="20"/>
          <w:lang w:val="en-GB"/>
        </w:rPr>
        <w:t xml:space="preserve">. </w:t>
      </w:r>
      <w:r w:rsidRPr="00CA5DD3">
        <w:rPr>
          <w:rFonts w:ascii="Montserrat" w:hAnsi="Montserrat"/>
          <w:color w:val="FF0000"/>
          <w:sz w:val="20"/>
          <w:szCs w:val="20"/>
          <w:lang w:val="en-GB"/>
        </w:rPr>
        <w:t>A second round of sampling is carried out at the end of the process. The results of this</w:t>
      </w:r>
      <w:r w:rsidR="009B4FBA" w:rsidRPr="00CA5DD3">
        <w:rPr>
          <w:rFonts w:ascii="Montserrat" w:hAnsi="Montserrat"/>
          <w:color w:val="FF0000"/>
          <w:sz w:val="20"/>
          <w:szCs w:val="20"/>
          <w:lang w:val="en-GB"/>
        </w:rPr>
        <w:t xml:space="preserve"> second</w:t>
      </w:r>
      <w:r w:rsidRPr="00CA5DD3">
        <w:rPr>
          <w:rFonts w:ascii="Montserrat" w:hAnsi="Montserrat"/>
          <w:color w:val="FF0000"/>
          <w:sz w:val="20"/>
          <w:szCs w:val="20"/>
          <w:lang w:val="en-GB"/>
        </w:rPr>
        <w:t xml:space="preserve"> round are reflected in the final indicator scores. In the first round of sampling, </w:t>
      </w:r>
      <w:proofErr w:type="spellStart"/>
      <w:r w:rsidRPr="00CA5DD3">
        <w:rPr>
          <w:rFonts w:ascii="Montserrat" w:hAnsi="Montserrat"/>
          <w:color w:val="FF0000"/>
          <w:sz w:val="20"/>
          <w:szCs w:val="20"/>
          <w:lang w:val="en-GB"/>
        </w:rPr>
        <w:t>f</w:t>
      </w:r>
      <w:r w:rsidRPr="00CA5DD3">
        <w:rPr>
          <w:rFonts w:ascii="Montserrat" w:hAnsi="Montserrat"/>
          <w:strike/>
          <w:color w:val="FF0000"/>
          <w:sz w:val="20"/>
          <w:szCs w:val="20"/>
          <w:lang w:val="en-GB"/>
        </w:rPr>
        <w:t>F</w:t>
      </w:r>
      <w:r w:rsidRPr="007E41D1">
        <w:rPr>
          <w:rFonts w:ascii="Montserrat" w:hAnsi="Montserrat"/>
          <w:sz w:val="20"/>
          <w:szCs w:val="20"/>
          <w:lang w:val="en-GB"/>
        </w:rPr>
        <w:t>or</w:t>
      </w:r>
      <w:proofErr w:type="spellEnd"/>
      <w:r w:rsidRPr="007E41D1">
        <w:rPr>
          <w:rFonts w:ascii="Montserrat" w:hAnsi="Montserrat"/>
          <w:sz w:val="20"/>
          <w:szCs w:val="20"/>
          <w:lang w:val="en-GB"/>
        </w:rPr>
        <w:t xml:space="preserve"> each indicator </w:t>
      </w:r>
      <w:r w:rsidRPr="00CA5DD3">
        <w:rPr>
          <w:rFonts w:ascii="Montserrat" w:hAnsi="Montserrat"/>
          <w:strike/>
          <w:color w:val="FF0000"/>
          <w:sz w:val="20"/>
          <w:szCs w:val="20"/>
          <w:lang w:val="en-GB"/>
        </w:rPr>
        <w:t>20</w:t>
      </w:r>
      <w:r w:rsidRPr="00CA5DD3">
        <w:rPr>
          <w:rFonts w:ascii="Montserrat" w:hAnsi="Montserrat"/>
          <w:color w:val="FF0000"/>
          <w:sz w:val="20"/>
          <w:szCs w:val="20"/>
          <w:lang w:val="en-GB"/>
        </w:rPr>
        <w:t xml:space="preserve"> 12 </w:t>
      </w:r>
      <w:r w:rsidRPr="007E41D1">
        <w:rPr>
          <w:rFonts w:ascii="Montserrat" w:hAnsi="Montserrat"/>
          <w:sz w:val="20"/>
          <w:szCs w:val="20"/>
          <w:lang w:val="en-GB"/>
        </w:rPr>
        <w:t xml:space="preserve">random samples are selected from the data for review. A minimum of </w:t>
      </w:r>
      <w:r w:rsidRPr="00CA5DD3">
        <w:rPr>
          <w:rFonts w:ascii="Montserrat" w:hAnsi="Montserrat"/>
          <w:strike/>
          <w:color w:val="FF0000"/>
          <w:sz w:val="20"/>
          <w:szCs w:val="20"/>
          <w:lang w:val="en-GB"/>
        </w:rPr>
        <w:t>ten</w:t>
      </w:r>
      <w:r w:rsidRPr="007E41D1">
        <w:rPr>
          <w:rFonts w:ascii="Montserrat" w:hAnsi="Montserrat"/>
          <w:sz w:val="20"/>
          <w:szCs w:val="20"/>
          <w:lang w:val="en-GB"/>
        </w:rPr>
        <w:t xml:space="preserve"> </w:t>
      </w:r>
      <w:r w:rsidRPr="00CA5DD3">
        <w:rPr>
          <w:rFonts w:ascii="Montserrat" w:hAnsi="Montserrat"/>
          <w:color w:val="FF0000"/>
          <w:sz w:val="20"/>
          <w:szCs w:val="20"/>
          <w:lang w:val="en-GB"/>
        </w:rPr>
        <w:t xml:space="preserve">six </w:t>
      </w:r>
      <w:r w:rsidRPr="007E41D1">
        <w:rPr>
          <w:rFonts w:ascii="Montserrat" w:hAnsi="Montserrat"/>
          <w:sz w:val="20"/>
          <w:szCs w:val="20"/>
          <w:lang w:val="en-GB"/>
        </w:rPr>
        <w:t>of these samples (the relevant project document or data) need to pass sampling to be scored as IATI data.</w:t>
      </w:r>
      <w:r w:rsidRPr="00CA5DD3">
        <w:rPr>
          <w:rFonts w:ascii="Montserrat" w:hAnsi="Montserrat"/>
          <w:color w:val="FF0000"/>
          <w:sz w:val="20"/>
          <w:szCs w:val="20"/>
          <w:lang w:val="en-GB"/>
        </w:rPr>
        <w:t xml:space="preserve"> In the second round, 20 random samples are reviewed and a minimum of 10 must pass in order for that indicator to be scored as IATI data.</w:t>
      </w:r>
      <w:r w:rsidRPr="007E41D1">
        <w:rPr>
          <w:rFonts w:ascii="Montserrat" w:hAnsi="Montserrat"/>
          <w:sz w:val="20"/>
          <w:szCs w:val="20"/>
          <w:lang w:val="en-GB"/>
        </w:rPr>
        <w:t xml:space="preserve"> If less than 20 </w:t>
      </w:r>
      <w:r w:rsidRPr="00CA5DD3">
        <w:rPr>
          <w:rFonts w:ascii="Montserrat" w:hAnsi="Montserrat"/>
          <w:strike/>
          <w:color w:val="FF0000"/>
          <w:sz w:val="20"/>
          <w:szCs w:val="20"/>
          <w:lang w:val="en-GB"/>
        </w:rPr>
        <w:t>activities passed the</w:t>
      </w:r>
      <w:r w:rsidR="00CA5DD3" w:rsidRPr="00CA5DD3">
        <w:rPr>
          <w:rFonts w:ascii="Montserrat" w:hAnsi="Montserrat"/>
          <w:color w:val="FF0000"/>
          <w:sz w:val="20"/>
          <w:szCs w:val="20"/>
          <w:lang w:val="en-GB"/>
        </w:rPr>
        <w:t xml:space="preserve"> </w:t>
      </w:r>
      <w:r w:rsidR="00D44FB2" w:rsidRPr="00CA5DD3">
        <w:rPr>
          <w:rFonts w:ascii="Montserrat" w:hAnsi="Montserrat"/>
          <w:color w:val="FF0000"/>
          <w:sz w:val="20"/>
          <w:szCs w:val="20"/>
          <w:lang w:val="en-GB"/>
        </w:rPr>
        <w:t>data samples are available for an</w:t>
      </w:r>
      <w:r w:rsidRPr="00CA5DD3">
        <w:rPr>
          <w:rFonts w:ascii="Montserrat" w:hAnsi="Montserrat"/>
          <w:color w:val="FF0000"/>
          <w:sz w:val="20"/>
          <w:szCs w:val="20"/>
          <w:lang w:val="en-GB"/>
        </w:rPr>
        <w:t xml:space="preserve"> </w:t>
      </w:r>
      <w:r w:rsidRPr="007E41D1">
        <w:rPr>
          <w:rFonts w:ascii="Montserrat" w:hAnsi="Montserrat"/>
          <w:sz w:val="20"/>
          <w:szCs w:val="20"/>
          <w:lang w:val="en-GB"/>
        </w:rPr>
        <w:t>indicator, then all of the relevant documents or data are reviewed and at least half of these must be approved in order to be scored as IATI data. The sampled indicators are:</w:t>
      </w:r>
    </w:p>
    <w:p w:rsidR="00564AF4" w:rsidRPr="007E41D1" w:rsidRDefault="00564AF4" w:rsidP="00564AF4">
      <w:pPr>
        <w:numPr>
          <w:ilvl w:val="0"/>
          <w:numId w:val="2"/>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Country strategy or Memorandum of Understanding (MoU)</w:t>
      </w:r>
    </w:p>
    <w:p w:rsidR="00564AF4" w:rsidRPr="007E41D1" w:rsidRDefault="00564AF4" w:rsidP="00564AF4">
      <w:pPr>
        <w:numPr>
          <w:ilvl w:val="0"/>
          <w:numId w:val="2"/>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Titles</w:t>
      </w:r>
    </w:p>
    <w:p w:rsidR="00564AF4" w:rsidRPr="007E41D1" w:rsidRDefault="00564AF4" w:rsidP="00564AF4">
      <w:pPr>
        <w:numPr>
          <w:ilvl w:val="0"/>
          <w:numId w:val="2"/>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Descriptions</w:t>
      </w:r>
    </w:p>
    <w:p w:rsidR="00564AF4" w:rsidRPr="007E41D1" w:rsidRDefault="00564AF4" w:rsidP="00564AF4">
      <w:pPr>
        <w:numPr>
          <w:ilvl w:val="0"/>
          <w:numId w:val="2"/>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Project budget documents</w:t>
      </w:r>
    </w:p>
    <w:p w:rsidR="00564AF4" w:rsidRPr="007E41D1" w:rsidRDefault="00564AF4" w:rsidP="00564AF4">
      <w:pPr>
        <w:numPr>
          <w:ilvl w:val="0"/>
          <w:numId w:val="2"/>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Sub-national locations</w:t>
      </w:r>
    </w:p>
    <w:p w:rsidR="00564AF4" w:rsidRPr="007E41D1" w:rsidRDefault="00564AF4" w:rsidP="00564AF4">
      <w:pPr>
        <w:numPr>
          <w:ilvl w:val="0"/>
          <w:numId w:val="2"/>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Conditions</w:t>
      </w:r>
    </w:p>
    <w:p w:rsidR="00564AF4" w:rsidRPr="007E41D1" w:rsidRDefault="00564AF4" w:rsidP="00564AF4">
      <w:pPr>
        <w:numPr>
          <w:ilvl w:val="0"/>
          <w:numId w:val="2"/>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Project procurement</w:t>
      </w:r>
    </w:p>
    <w:p w:rsidR="00564AF4" w:rsidRPr="007E41D1" w:rsidRDefault="00564AF4" w:rsidP="00564AF4">
      <w:pPr>
        <w:numPr>
          <w:ilvl w:val="0"/>
          <w:numId w:val="2"/>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Objectives</w:t>
      </w:r>
    </w:p>
    <w:p w:rsidR="00564AF4" w:rsidRPr="007E41D1" w:rsidRDefault="00564AF4" w:rsidP="00564AF4">
      <w:pPr>
        <w:numPr>
          <w:ilvl w:val="0"/>
          <w:numId w:val="2"/>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Pre-project impact appraisals</w:t>
      </w:r>
    </w:p>
    <w:p w:rsidR="00564AF4" w:rsidRPr="007E41D1" w:rsidRDefault="00564AF4" w:rsidP="00564AF4">
      <w:pPr>
        <w:numPr>
          <w:ilvl w:val="0"/>
          <w:numId w:val="2"/>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Reviews and evaluations</w:t>
      </w:r>
    </w:p>
    <w:p w:rsidR="00564AF4" w:rsidRPr="007E41D1" w:rsidRDefault="00564AF4" w:rsidP="00564AF4">
      <w:pPr>
        <w:numPr>
          <w:ilvl w:val="0"/>
          <w:numId w:val="2"/>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Results</w:t>
      </w:r>
    </w:p>
    <w:p w:rsidR="009B4FBA" w:rsidRPr="007E41D1" w:rsidRDefault="009B4FBA" w:rsidP="009B4FBA">
      <w:pPr>
        <w:spacing w:after="0" w:line="240" w:lineRule="auto"/>
        <w:ind w:left="720"/>
        <w:contextualSpacing/>
        <w:rPr>
          <w:rFonts w:ascii="Montserrat" w:hAnsi="Montserrat"/>
          <w:sz w:val="20"/>
          <w:szCs w:val="20"/>
          <w:lang w:val="en-GB"/>
        </w:rPr>
      </w:pPr>
    </w:p>
    <w:p w:rsidR="00564AF4" w:rsidRPr="007E41D1" w:rsidRDefault="00564AF4" w:rsidP="00564AF4">
      <w:pPr>
        <w:spacing w:line="240" w:lineRule="auto"/>
        <w:rPr>
          <w:rFonts w:ascii="Montserrat" w:hAnsi="Montserrat"/>
          <w:sz w:val="20"/>
          <w:szCs w:val="20"/>
          <w:lang w:val="en-GB"/>
        </w:rPr>
      </w:pPr>
      <w:r w:rsidRPr="007E41D1">
        <w:rPr>
          <w:rFonts w:ascii="Montserrat" w:hAnsi="Montserrat"/>
          <w:sz w:val="20"/>
          <w:szCs w:val="20"/>
          <w:lang w:val="en-GB"/>
        </w:rPr>
        <w:t>For four of these indicators, two sub-elements are verified as part of the sampling process. These are:</w:t>
      </w:r>
    </w:p>
    <w:p w:rsidR="00564AF4" w:rsidRPr="007E41D1" w:rsidRDefault="00564AF4" w:rsidP="00564AF4">
      <w:pPr>
        <w:numPr>
          <w:ilvl w:val="0"/>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Conditions:</w:t>
      </w:r>
    </w:p>
    <w:p w:rsidR="00564AF4" w:rsidRPr="007E41D1" w:rsidRDefault="00564AF4" w:rsidP="00564AF4">
      <w:pPr>
        <w:numPr>
          <w:ilvl w:val="1"/>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Conditions data</w:t>
      </w:r>
    </w:p>
    <w:p w:rsidR="00564AF4" w:rsidRPr="007E41D1" w:rsidRDefault="00564AF4" w:rsidP="00564AF4">
      <w:pPr>
        <w:numPr>
          <w:ilvl w:val="1"/>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Conditions document</w:t>
      </w:r>
    </w:p>
    <w:p w:rsidR="00564AF4" w:rsidRPr="007E41D1" w:rsidRDefault="00564AF4" w:rsidP="00564AF4">
      <w:pPr>
        <w:numPr>
          <w:ilvl w:val="0"/>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Results:</w:t>
      </w:r>
    </w:p>
    <w:p w:rsidR="00564AF4" w:rsidRPr="007E41D1" w:rsidRDefault="00564AF4" w:rsidP="00564AF4">
      <w:pPr>
        <w:numPr>
          <w:ilvl w:val="1"/>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Results data</w:t>
      </w:r>
    </w:p>
    <w:p w:rsidR="00564AF4" w:rsidRPr="007E41D1" w:rsidRDefault="00564AF4" w:rsidP="00564AF4">
      <w:pPr>
        <w:numPr>
          <w:ilvl w:val="1"/>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Results document</w:t>
      </w:r>
    </w:p>
    <w:p w:rsidR="00564AF4" w:rsidRPr="007E41D1" w:rsidRDefault="00564AF4" w:rsidP="00564AF4">
      <w:pPr>
        <w:numPr>
          <w:ilvl w:val="0"/>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Sub-national locations:</w:t>
      </w:r>
    </w:p>
    <w:p w:rsidR="00564AF4" w:rsidRPr="007E41D1" w:rsidRDefault="00564AF4" w:rsidP="00564AF4">
      <w:pPr>
        <w:numPr>
          <w:ilvl w:val="1"/>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 xml:space="preserve">Sub-national location data (coordinates or point) </w:t>
      </w:r>
    </w:p>
    <w:p w:rsidR="00564AF4" w:rsidRPr="007E41D1" w:rsidRDefault="00564AF4" w:rsidP="00564AF4">
      <w:pPr>
        <w:numPr>
          <w:ilvl w:val="1"/>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Sub-national location (narrative)</w:t>
      </w:r>
    </w:p>
    <w:p w:rsidR="00564AF4" w:rsidRPr="007E41D1" w:rsidRDefault="00564AF4" w:rsidP="00564AF4">
      <w:pPr>
        <w:numPr>
          <w:ilvl w:val="0"/>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Project procurement:</w:t>
      </w:r>
    </w:p>
    <w:p w:rsidR="00564AF4" w:rsidRPr="007E41D1" w:rsidRDefault="00564AF4" w:rsidP="00564AF4">
      <w:pPr>
        <w:numPr>
          <w:ilvl w:val="1"/>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Contract documents</w:t>
      </w:r>
    </w:p>
    <w:p w:rsidR="00564AF4" w:rsidRPr="007E41D1" w:rsidRDefault="00564AF4" w:rsidP="00564AF4">
      <w:pPr>
        <w:numPr>
          <w:ilvl w:val="1"/>
          <w:numId w:val="3"/>
        </w:numPr>
        <w:spacing w:after="0" w:line="240" w:lineRule="auto"/>
        <w:ind w:hanging="360"/>
        <w:contextualSpacing/>
        <w:rPr>
          <w:rFonts w:ascii="Montserrat" w:hAnsi="Montserrat"/>
          <w:sz w:val="20"/>
          <w:szCs w:val="20"/>
          <w:lang w:val="en-GB"/>
        </w:rPr>
      </w:pPr>
      <w:r w:rsidRPr="007E41D1">
        <w:rPr>
          <w:rFonts w:ascii="Montserrat" w:hAnsi="Montserrat"/>
          <w:sz w:val="20"/>
          <w:szCs w:val="20"/>
          <w:lang w:val="en-GB"/>
        </w:rPr>
        <w:t>Tenders</w:t>
      </w:r>
    </w:p>
    <w:p w:rsidR="00564AF4" w:rsidRPr="007E41D1" w:rsidRDefault="00564AF4" w:rsidP="00564AF4">
      <w:pPr>
        <w:spacing w:after="0" w:line="240" w:lineRule="auto"/>
        <w:contextualSpacing/>
        <w:rPr>
          <w:rFonts w:ascii="Montserrat" w:hAnsi="Montserrat"/>
          <w:sz w:val="20"/>
          <w:szCs w:val="20"/>
          <w:lang w:val="en-GB"/>
        </w:rPr>
      </w:pPr>
    </w:p>
    <w:p w:rsidR="00564AF4" w:rsidRPr="007E41D1" w:rsidRDefault="00564AF4">
      <w:pPr>
        <w:rPr>
          <w:rFonts w:ascii="Montserrat" w:hAnsi="Montserrat"/>
          <w:sz w:val="20"/>
          <w:szCs w:val="20"/>
          <w:lang w:val="en-GB"/>
        </w:rPr>
      </w:pPr>
      <w:r w:rsidRPr="007E41D1">
        <w:rPr>
          <w:rFonts w:ascii="Montserrat" w:hAnsi="Montserrat"/>
          <w:sz w:val="20"/>
          <w:szCs w:val="20"/>
          <w:lang w:val="en-GB"/>
        </w:rPr>
        <w:br w:type="page"/>
      </w:r>
    </w:p>
    <w:p w:rsidR="00564AF4" w:rsidRPr="007E41D1" w:rsidRDefault="00564AF4" w:rsidP="00564AF4">
      <w:pPr>
        <w:pStyle w:val="Heading1"/>
        <w:rPr>
          <w:lang w:val="en-GB"/>
        </w:rPr>
      </w:pPr>
      <w:bookmarkStart w:id="17" w:name="_Toc57130505"/>
      <w:bookmarkStart w:id="18" w:name="_Toc65502297"/>
      <w:bookmarkStart w:id="19" w:name="_Toc66108868"/>
      <w:r w:rsidRPr="007E41D1">
        <w:rPr>
          <w:lang w:val="en-GB"/>
        </w:rPr>
        <w:t>Scoring structure/accessibility criteria</w:t>
      </w:r>
      <w:bookmarkEnd w:id="17"/>
      <w:bookmarkEnd w:id="18"/>
      <w:bookmarkEnd w:id="19"/>
    </w:p>
    <w:p w:rsidR="00564AF4" w:rsidRPr="007E41D1" w:rsidRDefault="00564AF4" w:rsidP="00564AF4">
      <w:pPr>
        <w:rPr>
          <w:lang w:val="en-GB"/>
        </w:rPr>
      </w:pPr>
      <w:r w:rsidRPr="007E41D1">
        <w:rPr>
          <w:lang w:val="en-GB"/>
        </w:rPr>
        <w:t xml:space="preserve">The Index reviews aid data and information made transparent by </w:t>
      </w:r>
      <w:r w:rsidR="009945DD">
        <w:rPr>
          <w:lang w:val="en-GB"/>
        </w:rPr>
        <w:t>organisation</w:t>
      </w:r>
      <w:r w:rsidRPr="007E41D1">
        <w:rPr>
          <w:lang w:val="en-GB"/>
        </w:rPr>
        <w:t>s in a variety of possible formats, including data on a</w:t>
      </w:r>
      <w:r w:rsidR="009945DD">
        <w:rPr>
          <w:lang w:val="en-GB"/>
        </w:rPr>
        <w:t>n</w:t>
      </w:r>
      <w:r w:rsidRPr="007E41D1">
        <w:rPr>
          <w:lang w:val="en-GB"/>
        </w:rPr>
        <w:t xml:space="preserve"> </w:t>
      </w:r>
      <w:r w:rsidR="009945DD">
        <w:rPr>
          <w:lang w:val="en-GB"/>
        </w:rPr>
        <w:t>organisation</w:t>
      </w:r>
      <w:r w:rsidRPr="007E41D1">
        <w:rPr>
          <w:lang w:val="en-GB"/>
        </w:rPr>
        <w:t xml:space="preserve">’s website, as a PDF, </w:t>
      </w:r>
      <w:r w:rsidR="001B1331">
        <w:rPr>
          <w:lang w:val="en-GB"/>
        </w:rPr>
        <w:t>E</w:t>
      </w:r>
      <w:r w:rsidRPr="007E41D1">
        <w:rPr>
          <w:lang w:val="en-GB"/>
        </w:rPr>
        <w:t xml:space="preserve">xcel or </w:t>
      </w:r>
      <w:r w:rsidR="001B1331">
        <w:rPr>
          <w:lang w:val="en-GB"/>
        </w:rPr>
        <w:t>CSV</w:t>
      </w:r>
      <w:r w:rsidRPr="007E41D1">
        <w:rPr>
          <w:lang w:val="en-GB"/>
        </w:rPr>
        <w:t xml:space="preserve"> file, or IATI data. Given the variable accessibility and usability of these different formats, scores for indicators are graduated, with higher scores given to comprehensive data that is more open and accessible. The highest scores are awarded for data published in the IATI Standard since this is open, machine readable, forward-looking, timely, standardised and centralised in the IATI Registry.</w:t>
      </w:r>
    </w:p>
    <w:p w:rsidR="00564AF4" w:rsidRPr="007E41D1" w:rsidRDefault="00564AF4" w:rsidP="00564AF4">
      <w:pPr>
        <w:rPr>
          <w:lang w:val="en-GB"/>
        </w:rPr>
      </w:pPr>
      <w:r w:rsidRPr="007E41D1">
        <w:rPr>
          <w:lang w:val="en-GB"/>
        </w:rPr>
        <w:t>We will continue to award the highest scores for comprehensive datasets published in the IATI Standard, however we propose to make adjustments to the scoring structure to avoid some inaccuracies that can occur under the current system.</w:t>
      </w:r>
    </w:p>
    <w:p w:rsidR="00564AF4" w:rsidRPr="007E41D1" w:rsidRDefault="00564AF4" w:rsidP="00564AF4">
      <w:pPr>
        <w:rPr>
          <w:lang w:val="en-GB"/>
        </w:rPr>
      </w:pPr>
      <w:r w:rsidRPr="007E41D1">
        <w:rPr>
          <w:lang w:val="en-GB"/>
        </w:rPr>
        <w:t>Currently, comprehensive datasets published in non-IATI formats can score between 16.67 to 50 points for an indicator.  Comprehensiv</w:t>
      </w:r>
      <w:r w:rsidR="001B1331">
        <w:rPr>
          <w:lang w:val="en-GB"/>
        </w:rPr>
        <w:t>e datasets published in the IATI Standard</w:t>
      </w:r>
      <w:r w:rsidRPr="007E41D1">
        <w:rPr>
          <w:lang w:val="en-GB"/>
        </w:rPr>
        <w:t xml:space="preserve"> score 100 points. We plan to keep this as it is. </w:t>
      </w:r>
    </w:p>
    <w:p w:rsidR="00564AF4" w:rsidRPr="007E41D1" w:rsidRDefault="00564AF4" w:rsidP="00564AF4">
      <w:pPr>
        <w:rPr>
          <w:lang w:val="en-GB"/>
        </w:rPr>
      </w:pPr>
      <w:r w:rsidRPr="007E41D1">
        <w:rPr>
          <w:lang w:val="en-GB"/>
        </w:rPr>
        <w:t>Non-comprehensive, or partial datasets published in non-IATI formats score 0 points under the current system</w:t>
      </w:r>
      <w:r w:rsidR="001B1331">
        <w:rPr>
          <w:lang w:val="en-GB"/>
        </w:rPr>
        <w:t>. P</w:t>
      </w:r>
      <w:r w:rsidRPr="007E41D1">
        <w:rPr>
          <w:lang w:val="en-GB"/>
        </w:rPr>
        <w:t>oints are only awarded for comprehensive publication in other formats – we measure this by taking a random sample of projects and reviewing whether data is available for those projects.  For IATI publication, partial datasets receive between 50-100 points, depending on the proportion of activities for which the data is available</w:t>
      </w:r>
      <w:r w:rsidR="001B1331">
        <w:rPr>
          <w:lang w:val="en-GB"/>
        </w:rPr>
        <w:t xml:space="preserve"> and on publication frequency</w:t>
      </w:r>
      <w:r w:rsidRPr="007E41D1">
        <w:rPr>
          <w:lang w:val="en-GB"/>
        </w:rPr>
        <w:t xml:space="preserve">. </w:t>
      </w:r>
    </w:p>
    <w:p w:rsidR="00564AF4" w:rsidRPr="007E41D1" w:rsidRDefault="00564AF4" w:rsidP="00564AF4">
      <w:pPr>
        <w:rPr>
          <w:lang w:val="en-GB"/>
        </w:rPr>
      </w:pPr>
      <w:r w:rsidRPr="007E41D1">
        <w:rPr>
          <w:lang w:val="en-GB"/>
        </w:rPr>
        <w:t xml:space="preserve">We identified a problem at the lower end of the IATI scoring scale. Publishing a very small set of data, covering just a few activities would score 50 points. Awarding </w:t>
      </w:r>
      <w:r w:rsidR="001B1331">
        <w:rPr>
          <w:lang w:val="en-GB"/>
        </w:rPr>
        <w:t>a higher score</w:t>
      </w:r>
      <w:r w:rsidRPr="007E41D1">
        <w:rPr>
          <w:lang w:val="en-GB"/>
        </w:rPr>
        <w:t xml:space="preserve"> for a </w:t>
      </w:r>
      <w:r w:rsidR="001B1331">
        <w:rPr>
          <w:lang w:val="en-GB"/>
        </w:rPr>
        <w:t xml:space="preserve">publication of a </w:t>
      </w:r>
      <w:r w:rsidRPr="007E41D1">
        <w:rPr>
          <w:lang w:val="en-GB"/>
        </w:rPr>
        <w:t xml:space="preserve">small amount of IATI data than for a comprehensive dataset in an Excel or </w:t>
      </w:r>
      <w:r w:rsidR="001B1331">
        <w:rPr>
          <w:lang w:val="en-GB"/>
        </w:rPr>
        <w:t>CSV</w:t>
      </w:r>
      <w:r w:rsidRPr="007E41D1">
        <w:rPr>
          <w:lang w:val="en-GB"/>
        </w:rPr>
        <w:t xml:space="preserve"> format begins to stray from being an accurate comparator of transparency. Also of concern was the fact that the scoring structure could be used to “game” scores. A</w:t>
      </w:r>
      <w:r w:rsidR="009945DD">
        <w:rPr>
          <w:lang w:val="en-GB"/>
        </w:rPr>
        <w:t>n organisation</w:t>
      </w:r>
      <w:r w:rsidRPr="007E41D1">
        <w:rPr>
          <w:lang w:val="en-GB"/>
        </w:rPr>
        <w:t xml:space="preserve"> could intentionally publish very small amounts of data in an IATI format to score 50 points for that indicator, rather than 0. </w:t>
      </w:r>
      <w:r w:rsidR="001B1331">
        <w:rPr>
          <w:lang w:val="en-GB"/>
        </w:rPr>
        <w:t>This would be a concern if it</w:t>
      </w:r>
      <w:r w:rsidRPr="007E41D1">
        <w:rPr>
          <w:lang w:val="en-GB"/>
        </w:rPr>
        <w:t xml:space="preserve"> w</w:t>
      </w:r>
      <w:r w:rsidR="001B1331">
        <w:rPr>
          <w:lang w:val="en-GB"/>
        </w:rPr>
        <w:t>ere</w:t>
      </w:r>
      <w:r w:rsidRPr="007E41D1">
        <w:rPr>
          <w:lang w:val="en-GB"/>
        </w:rPr>
        <w:t xml:space="preserve"> being done in order to inflate scores in the Index rather than as a genuine commitment to publish more and better transparency data.</w:t>
      </w:r>
    </w:p>
    <w:p w:rsidR="00564AF4" w:rsidRPr="007E41D1" w:rsidRDefault="001B1331" w:rsidP="00564AF4">
      <w:pPr>
        <w:rPr>
          <w:lang w:val="en-GB"/>
        </w:rPr>
      </w:pPr>
      <w:r>
        <w:rPr>
          <w:lang w:val="en-GB"/>
        </w:rPr>
        <w:t>In order to solve these problems, we</w:t>
      </w:r>
      <w:r w:rsidR="00564AF4" w:rsidRPr="007E41D1">
        <w:rPr>
          <w:lang w:val="en-GB"/>
        </w:rPr>
        <w:t xml:space="preserve"> propose to change the scoring structure for IATI published data to range from 33-100 points rather than 50-100 points. </w:t>
      </w:r>
    </w:p>
    <w:p w:rsidR="00564AF4" w:rsidRPr="007E41D1" w:rsidRDefault="00564AF4" w:rsidP="00564AF4">
      <w:pPr>
        <w:rPr>
          <w:lang w:val="en-GB"/>
        </w:rPr>
      </w:pPr>
      <w:r w:rsidRPr="007E41D1">
        <w:rPr>
          <w:lang w:val="en-GB"/>
        </w:rPr>
        <w:t xml:space="preserve">Under this new structure, publishing data in the IATI </w:t>
      </w:r>
      <w:r w:rsidR="00AF4EFD">
        <w:rPr>
          <w:lang w:val="en-GB"/>
        </w:rPr>
        <w:t>S</w:t>
      </w:r>
      <w:r w:rsidRPr="007E41D1">
        <w:rPr>
          <w:lang w:val="en-GB"/>
        </w:rPr>
        <w:t xml:space="preserve">tandard will still be the only way to achieve a score in the ‘good’ or ‘very good’ categories in the Index. Organisations not publishing IATI data will struggle to score in the ‘fair’ category and will very likely place in the ‘poor’ or ‘very poor’ categories. In most cases scores will be higher when </w:t>
      </w:r>
      <w:r w:rsidR="009945DD">
        <w:rPr>
          <w:lang w:val="en-GB"/>
        </w:rPr>
        <w:t>organisation</w:t>
      </w:r>
      <w:r w:rsidRPr="007E41D1">
        <w:rPr>
          <w:lang w:val="en-GB"/>
        </w:rPr>
        <w:t>s publish data in the IATI Standard compared to publication in other formats. However, publishing very small amounts of IATI data will score less than a comprehensive dataset published in a non-IATI machine readable format. This will dis-incentivise “gaming” and means scores will be more reflective of transparency (when balancing quantity of data with openness and accessibility).</w:t>
      </w:r>
    </w:p>
    <w:p w:rsidR="00564AF4" w:rsidRPr="007E41D1" w:rsidRDefault="00564AF4" w:rsidP="00564AF4">
      <w:pPr>
        <w:rPr>
          <w:rFonts w:asciiTheme="majorHAnsi" w:eastAsiaTheme="majorEastAsia" w:hAnsiTheme="majorHAnsi" w:cstheme="majorBidi"/>
          <w:color w:val="2E74B5" w:themeColor="accent1" w:themeShade="BF"/>
          <w:sz w:val="26"/>
          <w:szCs w:val="26"/>
          <w:lang w:val="en-GB"/>
        </w:rPr>
      </w:pPr>
      <w:r w:rsidRPr="007E41D1">
        <w:rPr>
          <w:lang w:val="en-GB"/>
        </w:rPr>
        <w:br w:type="page"/>
      </w:r>
    </w:p>
    <w:p w:rsidR="00564AF4" w:rsidRPr="007E41D1" w:rsidRDefault="00564AF4" w:rsidP="00564AF4">
      <w:pPr>
        <w:pStyle w:val="Heading2"/>
        <w:rPr>
          <w:lang w:val="en-GB"/>
        </w:rPr>
      </w:pPr>
      <w:bookmarkStart w:id="20" w:name="_Toc65502298"/>
      <w:bookmarkStart w:id="21" w:name="_Toc66108869"/>
      <w:r w:rsidRPr="007E41D1">
        <w:rPr>
          <w:lang w:val="en-GB"/>
        </w:rPr>
        <w:t>New technical paper text</w:t>
      </w:r>
      <w:bookmarkEnd w:id="20"/>
      <w:bookmarkEnd w:id="21"/>
    </w:p>
    <w:p w:rsidR="00564AF4" w:rsidRPr="007E41D1" w:rsidRDefault="00564AF4" w:rsidP="00564AF4">
      <w:pPr>
        <w:rPr>
          <w:rFonts w:ascii="Montserrat" w:hAnsi="Montserrat"/>
          <w:sz w:val="20"/>
          <w:szCs w:val="20"/>
          <w:lang w:val="en-GB"/>
        </w:rPr>
      </w:pPr>
      <w:r w:rsidRPr="007E41D1">
        <w:rPr>
          <w:rFonts w:ascii="Montserrat" w:hAnsi="Montserrat"/>
          <w:sz w:val="20"/>
          <w:szCs w:val="20"/>
          <w:lang w:val="en-GB"/>
        </w:rPr>
        <w:t>All indicators can score a maximum of 100 points. The scoring approach reflects a graduated system whereby the total possible score an organisation can achieve on each indicator is scaled depending on format, accessibility and/or number of years for which the</w:t>
      </w:r>
      <w:r w:rsidR="008D0293" w:rsidRPr="007E41D1">
        <w:rPr>
          <w:rFonts w:ascii="Montserrat" w:hAnsi="Montserrat"/>
          <w:sz w:val="20"/>
          <w:szCs w:val="20"/>
          <w:lang w:val="en-GB"/>
        </w:rPr>
        <w:t xml:space="preserve"> information is made available.</w:t>
      </w:r>
    </w:p>
    <w:p w:rsidR="00564AF4" w:rsidRPr="007E41D1" w:rsidRDefault="00564AF4" w:rsidP="00564AF4">
      <w:pPr>
        <w:rPr>
          <w:rFonts w:ascii="Montserrat" w:hAnsi="Montserrat"/>
          <w:sz w:val="20"/>
          <w:szCs w:val="20"/>
          <w:lang w:val="en-GB"/>
        </w:rPr>
      </w:pPr>
      <w:r w:rsidRPr="007E41D1">
        <w:rPr>
          <w:rFonts w:ascii="Montserrat" w:hAnsi="Montserrat"/>
          <w:sz w:val="20"/>
          <w:szCs w:val="20"/>
          <w:lang w:val="en-GB"/>
        </w:rPr>
        <w:t>All indicators that are “</w:t>
      </w:r>
      <w:r w:rsidRPr="007E41D1">
        <w:rPr>
          <w:rFonts w:ascii="Montserrat" w:hAnsi="Montserrat"/>
          <w:b/>
          <w:sz w:val="20"/>
          <w:szCs w:val="20"/>
          <w:lang w:val="en-GB"/>
        </w:rPr>
        <w:t>graduated on format</w:t>
      </w:r>
      <w:r w:rsidRPr="007E41D1">
        <w:rPr>
          <w:rFonts w:ascii="Montserrat" w:hAnsi="Montserrat"/>
          <w:sz w:val="20"/>
          <w:szCs w:val="20"/>
          <w:lang w:val="en-GB"/>
        </w:rPr>
        <w:t>” are scored as follows:</w:t>
      </w:r>
    </w:p>
    <w:p w:rsidR="00564AF4" w:rsidRPr="007E41D1" w:rsidRDefault="00564AF4" w:rsidP="00564AF4">
      <w:pPr>
        <w:pStyle w:val="ListParagraph"/>
        <w:numPr>
          <w:ilvl w:val="0"/>
          <w:numId w:val="4"/>
        </w:numPr>
        <w:rPr>
          <w:rFonts w:ascii="Montserrat" w:hAnsi="Montserrat"/>
          <w:sz w:val="20"/>
          <w:szCs w:val="20"/>
        </w:rPr>
      </w:pPr>
      <w:r w:rsidRPr="007E41D1">
        <w:rPr>
          <w:rFonts w:ascii="Montserrat" w:hAnsi="Montserrat"/>
          <w:sz w:val="20"/>
          <w:szCs w:val="20"/>
        </w:rPr>
        <w:t>If published as a PDF = 16.67 points</w:t>
      </w:r>
    </w:p>
    <w:p w:rsidR="00564AF4" w:rsidRPr="007E41D1" w:rsidRDefault="00564AF4" w:rsidP="00564AF4">
      <w:pPr>
        <w:pStyle w:val="ListParagraph"/>
        <w:numPr>
          <w:ilvl w:val="0"/>
          <w:numId w:val="4"/>
        </w:numPr>
        <w:rPr>
          <w:rFonts w:ascii="Montserrat" w:hAnsi="Montserrat"/>
          <w:sz w:val="20"/>
          <w:szCs w:val="20"/>
        </w:rPr>
      </w:pPr>
      <w:r w:rsidRPr="007E41D1">
        <w:rPr>
          <w:rFonts w:ascii="Montserrat" w:hAnsi="Montserrat"/>
          <w:sz w:val="20"/>
          <w:szCs w:val="20"/>
        </w:rPr>
        <w:t>If published on a static webpage = 33.33 points</w:t>
      </w:r>
    </w:p>
    <w:p w:rsidR="00564AF4" w:rsidRPr="007E41D1" w:rsidRDefault="00564AF4" w:rsidP="00564AF4">
      <w:pPr>
        <w:pStyle w:val="ListParagraph"/>
        <w:numPr>
          <w:ilvl w:val="0"/>
          <w:numId w:val="4"/>
        </w:numPr>
        <w:rPr>
          <w:rFonts w:ascii="Montserrat" w:hAnsi="Montserrat"/>
          <w:sz w:val="20"/>
          <w:szCs w:val="20"/>
        </w:rPr>
      </w:pPr>
      <w:r w:rsidRPr="007E41D1">
        <w:rPr>
          <w:rFonts w:ascii="Montserrat" w:hAnsi="Montserrat"/>
          <w:sz w:val="20"/>
          <w:szCs w:val="20"/>
        </w:rPr>
        <w:t xml:space="preserve">If published in a machine-readable format (CSV, </w:t>
      </w:r>
      <w:r w:rsidRPr="007E41D1">
        <w:rPr>
          <w:rFonts w:ascii="Montserrat" w:hAnsi="Montserrat"/>
          <w:sz w:val="20"/>
          <w:szCs w:val="20"/>
          <w:highlight w:val="white"/>
        </w:rPr>
        <w:t>XLSX</w:t>
      </w:r>
      <w:r w:rsidRPr="007E41D1">
        <w:rPr>
          <w:rFonts w:ascii="Montserrat" w:hAnsi="Montserrat"/>
          <w:sz w:val="20"/>
          <w:szCs w:val="20"/>
        </w:rPr>
        <w:t>, etc.) = 50.00 points</w:t>
      </w:r>
    </w:p>
    <w:p w:rsidR="00564AF4" w:rsidRPr="007E41D1" w:rsidRDefault="00564AF4" w:rsidP="00564AF4">
      <w:pPr>
        <w:pStyle w:val="ListParagraph"/>
        <w:numPr>
          <w:ilvl w:val="0"/>
          <w:numId w:val="4"/>
        </w:numPr>
        <w:rPr>
          <w:rFonts w:ascii="Montserrat" w:hAnsi="Montserrat"/>
          <w:sz w:val="20"/>
          <w:szCs w:val="20"/>
        </w:rPr>
      </w:pPr>
      <w:r w:rsidRPr="007E41D1">
        <w:rPr>
          <w:rFonts w:ascii="Montserrat" w:hAnsi="Montserrat"/>
          <w:sz w:val="20"/>
          <w:szCs w:val="20"/>
        </w:rPr>
        <w:t xml:space="preserve">If published in IATI XML = </w:t>
      </w:r>
      <w:r w:rsidRPr="00CA5DD3">
        <w:rPr>
          <w:rFonts w:ascii="Montserrat" w:hAnsi="Montserrat"/>
          <w:strike/>
          <w:color w:val="FF0000"/>
          <w:sz w:val="20"/>
          <w:szCs w:val="20"/>
        </w:rPr>
        <w:t>50</w:t>
      </w:r>
      <w:r w:rsidR="00CA5DD3" w:rsidRPr="00CA5DD3">
        <w:rPr>
          <w:rFonts w:ascii="Montserrat" w:hAnsi="Montserrat"/>
          <w:strike/>
          <w:color w:val="FF0000"/>
          <w:sz w:val="20"/>
          <w:szCs w:val="20"/>
        </w:rPr>
        <w:t xml:space="preserve"> </w:t>
      </w:r>
      <w:r w:rsidRPr="00CA5DD3">
        <w:rPr>
          <w:rFonts w:ascii="Montserrat" w:hAnsi="Montserrat"/>
          <w:color w:val="FF0000"/>
          <w:sz w:val="20"/>
          <w:szCs w:val="20"/>
        </w:rPr>
        <w:t>33</w:t>
      </w:r>
      <w:r w:rsidRPr="007E41D1">
        <w:rPr>
          <w:rFonts w:ascii="Montserrat" w:hAnsi="Montserrat"/>
          <w:sz w:val="20"/>
          <w:szCs w:val="20"/>
        </w:rPr>
        <w:t>–100 points depending on data quality and frequency.</w:t>
      </w:r>
    </w:p>
    <w:tbl>
      <w:tblPr>
        <w:tblpPr w:leftFromText="180" w:rightFromText="180" w:vertAnchor="text" w:horzAnchor="page" w:tblpX="1541" w:tblpY="137"/>
        <w:tblW w:w="9174"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174"/>
      </w:tblGrid>
      <w:tr w:rsidR="00564AF4" w:rsidRPr="007E41D1" w:rsidTr="00227EB1">
        <w:trPr>
          <w:trHeight w:val="5561"/>
        </w:trPr>
        <w:tc>
          <w:tcPr>
            <w:tcW w:w="9174" w:type="dxa"/>
            <w:tcMar>
              <w:top w:w="100" w:type="dxa"/>
              <w:left w:w="100" w:type="dxa"/>
              <w:bottom w:w="100" w:type="dxa"/>
              <w:right w:w="100" w:type="dxa"/>
            </w:tcMar>
          </w:tcPr>
          <w:p w:rsidR="00564AF4" w:rsidRPr="007E41D1" w:rsidRDefault="00564AF4" w:rsidP="00227EB1">
            <w:pPr>
              <w:rPr>
                <w:rFonts w:ascii="Montserrat" w:hAnsi="Montserrat"/>
                <w:b/>
                <w:sz w:val="20"/>
                <w:szCs w:val="20"/>
                <w:lang w:val="en-GB"/>
              </w:rPr>
            </w:pPr>
            <w:r w:rsidRPr="007E41D1">
              <w:rPr>
                <w:rFonts w:ascii="Montserrat" w:hAnsi="Montserrat"/>
                <w:b/>
                <w:sz w:val="20"/>
                <w:szCs w:val="20"/>
                <w:lang w:val="en-GB"/>
              </w:rPr>
              <w:t>Box 2. What is machine-readable data and why is it scored highly?</w:t>
            </w:r>
          </w:p>
          <w:p w:rsidR="00564AF4" w:rsidRPr="007E41D1" w:rsidRDefault="00564AF4" w:rsidP="00227EB1">
            <w:pPr>
              <w:rPr>
                <w:rFonts w:ascii="Montserrat" w:hAnsi="Montserrat"/>
                <w:sz w:val="20"/>
                <w:szCs w:val="20"/>
                <w:lang w:val="en-GB"/>
              </w:rPr>
            </w:pPr>
            <w:r w:rsidRPr="007E41D1">
              <w:rPr>
                <w:rFonts w:ascii="Montserrat" w:hAnsi="Montserrat"/>
                <w:sz w:val="20"/>
                <w:szCs w:val="20"/>
                <w:lang w:val="en-GB"/>
              </w:rPr>
              <w:t>Information published in machine-readable formats is presented in a structured way (not free text) that can be read automatically by a computer. Formats such as XML or spreadsheets (XLSX, CSV) are machine-readable formats. Data in traditional word-processed documents, HTML and PDF files are easily read by humans but can be difficult for machines to interpret, standardise or compare.</w:t>
            </w:r>
          </w:p>
          <w:p w:rsidR="00564AF4" w:rsidRPr="007E41D1" w:rsidRDefault="00564AF4" w:rsidP="00227EB1">
            <w:pPr>
              <w:rPr>
                <w:rFonts w:ascii="Montserrat" w:hAnsi="Montserrat"/>
                <w:sz w:val="20"/>
                <w:lang w:val="en-GB"/>
              </w:rPr>
            </w:pPr>
            <w:r w:rsidRPr="007E41D1">
              <w:rPr>
                <w:rFonts w:ascii="Montserrat" w:hAnsi="Montserrat"/>
                <w:sz w:val="20"/>
                <w:lang w:val="en-GB"/>
              </w:rPr>
              <w:t>Publishing data in a structured, machine-readable open format allows activities of different organisations to be quickly collected and compared. By contrast, comparing non-standardised data across multiple organisations or countries would require searching multiple websites and aggregating information published in different PDF files. This difference is reflected in the Index scoring. Comprehensive data published in the IATI Standard scores highest, followed by data published in other machine-readable formats, then websites and finally PDF files.</w:t>
            </w:r>
          </w:p>
          <w:p w:rsidR="00564AF4" w:rsidRPr="007E41D1" w:rsidRDefault="00564AF4" w:rsidP="00227EB1">
            <w:pPr>
              <w:rPr>
                <w:rFonts w:ascii="Montserrat" w:hAnsi="Montserrat"/>
                <w:sz w:val="20"/>
                <w:szCs w:val="20"/>
                <w:lang w:val="en-GB"/>
              </w:rPr>
            </w:pPr>
            <w:r w:rsidRPr="007E41D1">
              <w:rPr>
                <w:rFonts w:ascii="Montserrat" w:hAnsi="Montserrat"/>
                <w:sz w:val="20"/>
                <w:lang w:val="en-GB"/>
              </w:rPr>
              <w:t>Documents are also scored based on accessibility: for example, an annual report published on a website as a PDF would be picked up and scored in the manual survey, however including a link to this report in an organisation’s IATI file makes it easier to locate and identify and so it receives a higher score since it is more accessible.</w:t>
            </w:r>
          </w:p>
        </w:tc>
      </w:tr>
    </w:tbl>
    <w:p w:rsidR="00564AF4" w:rsidRPr="007E41D1" w:rsidRDefault="00564AF4" w:rsidP="00564AF4">
      <w:pPr>
        <w:rPr>
          <w:rFonts w:ascii="Montserrat" w:hAnsi="Montserrat"/>
          <w:sz w:val="20"/>
          <w:szCs w:val="20"/>
          <w:lang w:val="en-GB"/>
        </w:rPr>
      </w:pPr>
      <w:r w:rsidRPr="007E41D1">
        <w:rPr>
          <w:rFonts w:ascii="Montserrat" w:hAnsi="Montserrat"/>
          <w:sz w:val="20"/>
          <w:szCs w:val="20"/>
          <w:lang w:val="en-GB"/>
        </w:rPr>
        <w:t>For indicators relating to organisation planning (e.g. country strategies, audits, annual reports) that are “</w:t>
      </w:r>
      <w:r w:rsidRPr="007E41D1">
        <w:rPr>
          <w:rFonts w:ascii="Montserrat" w:hAnsi="Montserrat"/>
          <w:b/>
          <w:sz w:val="20"/>
          <w:szCs w:val="20"/>
          <w:lang w:val="en-GB"/>
        </w:rPr>
        <w:t>graduated on accessibility</w:t>
      </w:r>
      <w:r w:rsidRPr="007E41D1">
        <w:rPr>
          <w:rFonts w:ascii="Montserrat" w:hAnsi="Montserrat"/>
          <w:sz w:val="20"/>
          <w:szCs w:val="20"/>
          <w:lang w:val="en-GB"/>
        </w:rPr>
        <w:t>”:</w:t>
      </w:r>
    </w:p>
    <w:p w:rsidR="00564AF4" w:rsidRPr="007E41D1" w:rsidRDefault="00564AF4" w:rsidP="00564AF4">
      <w:pPr>
        <w:pStyle w:val="ListParagraph"/>
        <w:numPr>
          <w:ilvl w:val="0"/>
          <w:numId w:val="5"/>
        </w:numPr>
        <w:rPr>
          <w:rFonts w:ascii="Montserrat" w:hAnsi="Montserrat"/>
          <w:sz w:val="20"/>
          <w:szCs w:val="20"/>
        </w:rPr>
      </w:pPr>
      <w:r w:rsidRPr="007E41D1">
        <w:rPr>
          <w:rFonts w:ascii="Montserrat" w:hAnsi="Montserrat"/>
          <w:sz w:val="20"/>
          <w:szCs w:val="20"/>
        </w:rPr>
        <w:t>Information published to the IATI Registry is awarded the full score for the indicator (100 points).</w:t>
      </w:r>
    </w:p>
    <w:p w:rsidR="00564AF4" w:rsidRPr="007E41D1" w:rsidRDefault="00564AF4" w:rsidP="00231558">
      <w:pPr>
        <w:pStyle w:val="ListParagraph"/>
        <w:numPr>
          <w:ilvl w:val="0"/>
          <w:numId w:val="5"/>
        </w:numPr>
        <w:rPr>
          <w:rFonts w:ascii="Montserrat" w:hAnsi="Montserrat"/>
          <w:sz w:val="20"/>
          <w:szCs w:val="20"/>
        </w:rPr>
      </w:pPr>
      <w:r w:rsidRPr="007E41D1">
        <w:rPr>
          <w:rFonts w:ascii="Montserrat" w:hAnsi="Montserrat"/>
          <w:sz w:val="20"/>
          <w:szCs w:val="20"/>
        </w:rPr>
        <w:t xml:space="preserve">Information published in all other formats is awarded 50 points out of a possible 100. </w:t>
      </w:r>
    </w:p>
    <w:p w:rsidR="008D0293" w:rsidRPr="007E41D1" w:rsidRDefault="008D0293" w:rsidP="008D0293">
      <w:pPr>
        <w:pStyle w:val="ListParagraph"/>
        <w:ind w:left="765"/>
        <w:rPr>
          <w:rFonts w:ascii="Montserrat" w:hAnsi="Montserrat"/>
          <w:sz w:val="20"/>
          <w:szCs w:val="20"/>
        </w:rPr>
      </w:pPr>
    </w:p>
    <w:p w:rsidR="00564AF4" w:rsidRPr="007E41D1" w:rsidRDefault="00564AF4" w:rsidP="00564AF4">
      <w:pPr>
        <w:rPr>
          <w:rFonts w:ascii="Montserrat" w:hAnsi="Montserrat"/>
          <w:sz w:val="20"/>
          <w:szCs w:val="20"/>
          <w:lang w:val="en-GB"/>
        </w:rPr>
      </w:pPr>
      <w:r w:rsidRPr="007E41D1">
        <w:rPr>
          <w:rFonts w:ascii="Montserrat" w:hAnsi="Montserrat"/>
          <w:sz w:val="20"/>
          <w:szCs w:val="20"/>
          <w:lang w:val="en-GB"/>
        </w:rPr>
        <w:t>These indicators relate to organisation documents, which may be provided in IATI data in the form of links to documents held on an official public website. Critically, they must specify the correct document code from the IATI ‘</w:t>
      </w:r>
      <w:hyperlink r:id="rId16" w:history="1">
        <w:r w:rsidRPr="007E41D1">
          <w:rPr>
            <w:rStyle w:val="Hyperlink"/>
            <w:rFonts w:ascii="Montserrat" w:hAnsi="Montserrat"/>
            <w:sz w:val="20"/>
            <w:szCs w:val="20"/>
            <w:lang w:val="en-GB"/>
          </w:rPr>
          <w:t xml:space="preserve">Organisation Documents </w:t>
        </w:r>
        <w:proofErr w:type="spellStart"/>
        <w:r w:rsidRPr="007E41D1">
          <w:rPr>
            <w:rStyle w:val="Hyperlink"/>
            <w:rFonts w:ascii="Montserrat" w:hAnsi="Montserrat"/>
            <w:sz w:val="20"/>
            <w:szCs w:val="20"/>
            <w:lang w:val="en-GB"/>
          </w:rPr>
          <w:t>Codelist</w:t>
        </w:r>
        <w:proofErr w:type="spellEnd"/>
        <w:r w:rsidRPr="007E41D1">
          <w:rPr>
            <w:rStyle w:val="Hyperlink"/>
            <w:rFonts w:ascii="Montserrat" w:hAnsi="Montserrat"/>
            <w:sz w:val="20"/>
            <w:szCs w:val="20"/>
            <w:lang w:val="en-GB"/>
          </w:rPr>
          <w:t>’</w:t>
        </w:r>
      </w:hyperlink>
      <w:r w:rsidRPr="007E41D1">
        <w:rPr>
          <w:rFonts w:ascii="Montserrat" w:hAnsi="Montserrat"/>
          <w:sz w:val="20"/>
          <w:szCs w:val="20"/>
          <w:lang w:val="en-GB"/>
        </w:rPr>
        <w:t>. This makes them easier to locate and identify as they have been categorised according to a common standard; hence they are scored more highly.</w:t>
      </w:r>
    </w:p>
    <w:p w:rsidR="00564AF4" w:rsidRPr="007E41D1" w:rsidRDefault="00564AF4" w:rsidP="00564AF4">
      <w:pPr>
        <w:rPr>
          <w:rFonts w:ascii="Montserrat" w:hAnsi="Montserrat"/>
          <w:sz w:val="20"/>
          <w:szCs w:val="20"/>
          <w:lang w:val="en-GB"/>
        </w:rPr>
      </w:pPr>
      <w:r w:rsidRPr="007E41D1">
        <w:rPr>
          <w:rFonts w:ascii="Montserrat" w:hAnsi="Montserrat"/>
          <w:sz w:val="20"/>
          <w:szCs w:val="20"/>
          <w:lang w:val="en-GB"/>
        </w:rPr>
        <w:t>For indicators on projects or operations that are “</w:t>
      </w:r>
      <w:r w:rsidRPr="007E41D1">
        <w:rPr>
          <w:rFonts w:ascii="Montserrat" w:hAnsi="Montserrat"/>
          <w:b/>
          <w:sz w:val="20"/>
          <w:szCs w:val="20"/>
          <w:lang w:val="en-GB"/>
        </w:rPr>
        <w:t>graduated on accessibility</w:t>
      </w:r>
      <w:r w:rsidRPr="007E41D1">
        <w:rPr>
          <w:rFonts w:ascii="Montserrat" w:hAnsi="Montserrat"/>
          <w:sz w:val="20"/>
          <w:szCs w:val="20"/>
          <w:lang w:val="en-GB"/>
        </w:rPr>
        <w:t>”:</w:t>
      </w:r>
    </w:p>
    <w:p w:rsidR="00564AF4" w:rsidRPr="007E41D1" w:rsidRDefault="00564AF4" w:rsidP="00564AF4">
      <w:pPr>
        <w:pStyle w:val="ListParagraph"/>
        <w:numPr>
          <w:ilvl w:val="0"/>
          <w:numId w:val="6"/>
        </w:numPr>
        <w:rPr>
          <w:rFonts w:ascii="Montserrat" w:hAnsi="Montserrat"/>
          <w:sz w:val="20"/>
          <w:szCs w:val="20"/>
        </w:rPr>
      </w:pPr>
      <w:r w:rsidRPr="007E41D1">
        <w:rPr>
          <w:rFonts w:ascii="Montserrat" w:hAnsi="Montserrat"/>
          <w:sz w:val="20"/>
          <w:szCs w:val="20"/>
        </w:rPr>
        <w:t xml:space="preserve">Information published to the IATI Registry can score </w:t>
      </w:r>
      <w:r w:rsidRPr="00CA5DD3">
        <w:rPr>
          <w:rFonts w:ascii="Montserrat" w:hAnsi="Montserrat"/>
          <w:strike/>
          <w:color w:val="FF0000"/>
          <w:sz w:val="20"/>
          <w:szCs w:val="20"/>
        </w:rPr>
        <w:t>50</w:t>
      </w:r>
      <w:r w:rsidR="00CA5DD3" w:rsidRPr="00CA5DD3">
        <w:rPr>
          <w:rFonts w:ascii="Montserrat" w:hAnsi="Montserrat"/>
          <w:color w:val="FF0000"/>
          <w:sz w:val="20"/>
          <w:szCs w:val="20"/>
        </w:rPr>
        <w:t xml:space="preserve"> </w:t>
      </w:r>
      <w:r w:rsidRPr="00CA5DD3">
        <w:rPr>
          <w:rFonts w:ascii="Montserrat" w:hAnsi="Montserrat"/>
          <w:color w:val="FF0000"/>
          <w:sz w:val="20"/>
          <w:szCs w:val="20"/>
        </w:rPr>
        <w:t>33</w:t>
      </w:r>
      <w:r w:rsidRPr="007E41D1">
        <w:rPr>
          <w:rFonts w:ascii="Montserrat" w:hAnsi="Montserrat"/>
          <w:sz w:val="20"/>
          <w:szCs w:val="20"/>
        </w:rPr>
        <w:t>–100 points per indicator based on the quality and frequency of publication</w:t>
      </w:r>
    </w:p>
    <w:p w:rsidR="00564AF4" w:rsidRPr="007E41D1" w:rsidRDefault="00564AF4" w:rsidP="008D0293">
      <w:pPr>
        <w:pStyle w:val="ListParagraph"/>
        <w:numPr>
          <w:ilvl w:val="0"/>
          <w:numId w:val="6"/>
        </w:numPr>
        <w:rPr>
          <w:rFonts w:ascii="Montserrat" w:hAnsi="Montserrat"/>
          <w:sz w:val="20"/>
          <w:szCs w:val="20"/>
        </w:rPr>
      </w:pPr>
      <w:r w:rsidRPr="007E41D1">
        <w:rPr>
          <w:rFonts w:ascii="Montserrat" w:hAnsi="Montserrat"/>
          <w:sz w:val="20"/>
          <w:szCs w:val="20"/>
        </w:rPr>
        <w:t>Information published in all other formats is awarded 50 points for the indicator.</w:t>
      </w:r>
    </w:p>
    <w:p w:rsidR="008D0293" w:rsidRPr="007E41D1" w:rsidRDefault="008D0293" w:rsidP="008D0293">
      <w:pPr>
        <w:pStyle w:val="ListParagraph"/>
        <w:ind w:left="765"/>
        <w:rPr>
          <w:rFonts w:ascii="Montserrat" w:hAnsi="Montserrat"/>
          <w:sz w:val="20"/>
          <w:szCs w:val="20"/>
        </w:rPr>
      </w:pPr>
    </w:p>
    <w:p w:rsidR="00564AF4" w:rsidRPr="007E41D1" w:rsidRDefault="00564AF4" w:rsidP="00564AF4">
      <w:pPr>
        <w:rPr>
          <w:rFonts w:ascii="Montserrat" w:hAnsi="Montserrat"/>
          <w:sz w:val="20"/>
          <w:szCs w:val="20"/>
          <w:lang w:val="en-GB"/>
        </w:rPr>
      </w:pPr>
      <w:r w:rsidRPr="007E41D1">
        <w:rPr>
          <w:rFonts w:ascii="Montserrat" w:hAnsi="Montserrat"/>
          <w:sz w:val="20"/>
          <w:szCs w:val="20"/>
          <w:lang w:val="en-GB"/>
        </w:rPr>
        <w:t>The scoring for the two forward-looking budget indicators at the organisation level is “</w:t>
      </w:r>
      <w:r w:rsidRPr="007E41D1">
        <w:rPr>
          <w:rFonts w:ascii="Montserrat" w:hAnsi="Montserrat"/>
          <w:b/>
          <w:sz w:val="20"/>
          <w:szCs w:val="20"/>
          <w:lang w:val="en-GB"/>
        </w:rPr>
        <w:t>graduated on both format and the number of years</w:t>
      </w:r>
      <w:r w:rsidRPr="007E41D1">
        <w:rPr>
          <w:rFonts w:ascii="Montserrat" w:hAnsi="Montserrat"/>
          <w:sz w:val="20"/>
          <w:szCs w:val="20"/>
          <w:lang w:val="en-GB"/>
        </w:rPr>
        <w:t xml:space="preserve">” for </w:t>
      </w:r>
      <w:r w:rsidR="008D0293" w:rsidRPr="007E41D1">
        <w:rPr>
          <w:rFonts w:ascii="Montserrat" w:hAnsi="Montserrat"/>
          <w:sz w:val="20"/>
          <w:szCs w:val="20"/>
          <w:lang w:val="en-GB"/>
        </w:rPr>
        <w:t>which information is published.</w:t>
      </w:r>
    </w:p>
    <w:p w:rsidR="00564AF4" w:rsidRPr="007E41D1" w:rsidRDefault="00564AF4" w:rsidP="00564AF4">
      <w:pPr>
        <w:pStyle w:val="ListParagraph"/>
        <w:numPr>
          <w:ilvl w:val="0"/>
          <w:numId w:val="8"/>
        </w:numPr>
        <w:rPr>
          <w:rFonts w:ascii="Montserrat" w:hAnsi="Montserrat"/>
          <w:sz w:val="20"/>
          <w:szCs w:val="20"/>
        </w:rPr>
      </w:pPr>
      <w:r w:rsidRPr="007E41D1">
        <w:rPr>
          <w:rFonts w:ascii="Montserrat" w:hAnsi="Montserrat"/>
          <w:sz w:val="20"/>
          <w:szCs w:val="20"/>
        </w:rPr>
        <w:t>Publishing a budget for 2022 counts as one year forward looking, 2023 as two years and 2024 as three years.</w:t>
      </w:r>
    </w:p>
    <w:p w:rsidR="00564AF4" w:rsidRPr="007E41D1" w:rsidRDefault="00564AF4" w:rsidP="00564AF4">
      <w:pPr>
        <w:pStyle w:val="ListParagraph"/>
        <w:numPr>
          <w:ilvl w:val="0"/>
          <w:numId w:val="8"/>
        </w:numPr>
        <w:rPr>
          <w:rFonts w:ascii="Montserrat" w:hAnsi="Montserrat"/>
          <w:sz w:val="20"/>
          <w:szCs w:val="20"/>
        </w:rPr>
      </w:pPr>
      <w:r w:rsidRPr="007E41D1">
        <w:rPr>
          <w:rFonts w:ascii="Montserrat" w:hAnsi="Montserrat"/>
          <w:sz w:val="20"/>
          <w:szCs w:val="20"/>
        </w:rPr>
        <w:t xml:space="preserve">Aggregate budgets are treated the same as a one-year forward-looking budget, i.e. an aggregate budget for 2022–2024 is treated the same as a one-year budget for 2022. </w:t>
      </w:r>
    </w:p>
    <w:p w:rsidR="008D0293" w:rsidRPr="007E41D1" w:rsidRDefault="008D0293" w:rsidP="008D0293">
      <w:pPr>
        <w:pStyle w:val="ListParagraph"/>
        <w:rPr>
          <w:rFonts w:ascii="Montserrat" w:hAnsi="Montserrat"/>
          <w:sz w:val="20"/>
          <w:szCs w:val="20"/>
        </w:rPr>
      </w:pPr>
    </w:p>
    <w:p w:rsidR="00564AF4" w:rsidRPr="007E41D1" w:rsidRDefault="00564AF4" w:rsidP="00564AF4">
      <w:pPr>
        <w:rPr>
          <w:rFonts w:ascii="Montserrat" w:hAnsi="Montserrat"/>
          <w:sz w:val="20"/>
          <w:szCs w:val="20"/>
          <w:lang w:val="en-GB"/>
        </w:rPr>
      </w:pPr>
      <w:r w:rsidRPr="007E41D1">
        <w:rPr>
          <w:rFonts w:ascii="Montserrat" w:hAnsi="Montserrat"/>
          <w:sz w:val="20"/>
          <w:szCs w:val="20"/>
          <w:lang w:val="en-GB"/>
        </w:rPr>
        <w:t>If an organisation publishes a budget for 2022 and then an aggregate budget for 2023–2024, then the budget is considered to be two years forward looking. The scores are graduated as follows (where * = multiply and / = divide):</w:t>
      </w:r>
    </w:p>
    <w:p w:rsidR="00564AF4" w:rsidRPr="007E41D1" w:rsidRDefault="00564AF4" w:rsidP="00564AF4">
      <w:pPr>
        <w:rPr>
          <w:rFonts w:ascii="Montserrat" w:hAnsi="Montserrat"/>
          <w:sz w:val="20"/>
          <w:szCs w:val="20"/>
          <w:lang w:val="en-GB"/>
        </w:rPr>
      </w:pPr>
    </w:p>
    <w:p w:rsidR="00564AF4" w:rsidRPr="007E41D1" w:rsidRDefault="00564AF4" w:rsidP="00564AF4">
      <w:pPr>
        <w:pStyle w:val="ListParagraph"/>
        <w:numPr>
          <w:ilvl w:val="0"/>
          <w:numId w:val="7"/>
        </w:numPr>
        <w:rPr>
          <w:rFonts w:ascii="Montserrat" w:hAnsi="Montserrat"/>
          <w:sz w:val="20"/>
          <w:szCs w:val="20"/>
        </w:rPr>
      </w:pPr>
      <w:r w:rsidRPr="007E41D1">
        <w:rPr>
          <w:rFonts w:ascii="Montserrat" w:hAnsi="Montserrat"/>
          <w:sz w:val="20"/>
          <w:szCs w:val="20"/>
        </w:rPr>
        <w:t>PDF = 16.67 * y/3 (where y is the number of years, up to a maximum of three, for which forward looking budget information is published)</w:t>
      </w:r>
    </w:p>
    <w:p w:rsidR="00564AF4" w:rsidRPr="007E41D1" w:rsidRDefault="00564AF4" w:rsidP="00564AF4">
      <w:pPr>
        <w:pStyle w:val="ListParagraph"/>
        <w:numPr>
          <w:ilvl w:val="0"/>
          <w:numId w:val="7"/>
        </w:numPr>
        <w:rPr>
          <w:rFonts w:ascii="Montserrat" w:hAnsi="Montserrat"/>
          <w:sz w:val="20"/>
          <w:szCs w:val="20"/>
        </w:rPr>
      </w:pPr>
      <w:r w:rsidRPr="007E41D1">
        <w:rPr>
          <w:rFonts w:ascii="Montserrat" w:hAnsi="Montserrat"/>
          <w:sz w:val="20"/>
          <w:szCs w:val="20"/>
        </w:rPr>
        <w:t>Website = 33.33 * y/3</w:t>
      </w:r>
    </w:p>
    <w:p w:rsidR="00564AF4" w:rsidRPr="007E41D1" w:rsidRDefault="00564AF4" w:rsidP="00564AF4">
      <w:pPr>
        <w:pStyle w:val="ListParagraph"/>
        <w:numPr>
          <w:ilvl w:val="0"/>
          <w:numId w:val="7"/>
        </w:numPr>
        <w:rPr>
          <w:rFonts w:ascii="Montserrat" w:hAnsi="Montserrat"/>
          <w:sz w:val="20"/>
          <w:szCs w:val="20"/>
        </w:rPr>
      </w:pPr>
      <w:r w:rsidRPr="007E41D1">
        <w:rPr>
          <w:rFonts w:ascii="Montserrat" w:hAnsi="Montserrat"/>
          <w:sz w:val="20"/>
          <w:szCs w:val="20"/>
        </w:rPr>
        <w:t>Machine-readable = 50.00 * y/3</w:t>
      </w:r>
    </w:p>
    <w:p w:rsidR="00564AF4" w:rsidRPr="007E41D1" w:rsidRDefault="00564AF4" w:rsidP="00564AF4">
      <w:pPr>
        <w:pStyle w:val="ListParagraph"/>
        <w:numPr>
          <w:ilvl w:val="0"/>
          <w:numId w:val="7"/>
        </w:numPr>
        <w:rPr>
          <w:rFonts w:ascii="Montserrat" w:hAnsi="Montserrat"/>
          <w:sz w:val="20"/>
          <w:szCs w:val="20"/>
        </w:rPr>
      </w:pPr>
      <w:r w:rsidRPr="007E41D1">
        <w:rPr>
          <w:rFonts w:ascii="Montserrat" w:hAnsi="Montserrat"/>
          <w:sz w:val="20"/>
          <w:szCs w:val="20"/>
        </w:rPr>
        <w:t xml:space="preserve">IATI XML = </w:t>
      </w:r>
      <w:r w:rsidR="00CA5DD3" w:rsidRPr="00CA5DD3">
        <w:rPr>
          <w:rFonts w:ascii="Montserrat" w:hAnsi="Montserrat"/>
          <w:strike/>
          <w:color w:val="FF0000"/>
          <w:sz w:val="20"/>
          <w:szCs w:val="20"/>
        </w:rPr>
        <w:t>50</w:t>
      </w:r>
      <w:r w:rsidR="00CA5DD3" w:rsidRPr="00CA5DD3">
        <w:rPr>
          <w:rFonts w:ascii="Montserrat" w:hAnsi="Montserrat"/>
          <w:color w:val="FF0000"/>
          <w:sz w:val="20"/>
          <w:szCs w:val="20"/>
        </w:rPr>
        <w:t xml:space="preserve"> 33</w:t>
      </w:r>
      <w:r w:rsidR="00CA5DD3">
        <w:rPr>
          <w:rFonts w:ascii="Montserrat" w:hAnsi="Montserrat"/>
          <w:color w:val="FF0000"/>
          <w:sz w:val="20"/>
          <w:szCs w:val="20"/>
        </w:rPr>
        <w:t xml:space="preserve"> </w:t>
      </w:r>
      <w:r w:rsidRPr="007E41D1">
        <w:rPr>
          <w:rFonts w:ascii="Montserrat" w:hAnsi="Montserrat"/>
          <w:sz w:val="20"/>
          <w:szCs w:val="20"/>
        </w:rPr>
        <w:t>–100 (depending on data quality and frequency) * y/3</w:t>
      </w:r>
    </w:p>
    <w:p w:rsidR="00564AF4" w:rsidRPr="007E41D1" w:rsidRDefault="00564AF4" w:rsidP="00564AF4">
      <w:pPr>
        <w:pStyle w:val="ListParagraph"/>
        <w:numPr>
          <w:ilvl w:val="0"/>
          <w:numId w:val="7"/>
        </w:numPr>
        <w:rPr>
          <w:rFonts w:ascii="Montserrat" w:hAnsi="Montserrat"/>
          <w:sz w:val="20"/>
          <w:szCs w:val="20"/>
        </w:rPr>
      </w:pPr>
      <w:r w:rsidRPr="007E41D1">
        <w:rPr>
          <w:rFonts w:ascii="Montserrat" w:hAnsi="Montserrat"/>
          <w:sz w:val="20"/>
          <w:szCs w:val="20"/>
        </w:rPr>
        <w:t>Aggregate budgets of between 2–3 years are scored the same as one-year forward budgets.</w:t>
      </w:r>
    </w:p>
    <w:p w:rsidR="00564AF4" w:rsidRPr="007E41D1" w:rsidRDefault="00564AF4" w:rsidP="00564AF4">
      <w:pPr>
        <w:pStyle w:val="ListParagraph"/>
        <w:ind w:left="1080"/>
        <w:rPr>
          <w:rFonts w:ascii="Montserrat" w:hAnsi="Montserrat"/>
          <w:sz w:val="20"/>
          <w:szCs w:val="20"/>
        </w:rPr>
      </w:pPr>
    </w:p>
    <w:p w:rsidR="00564AF4" w:rsidRPr="007E41D1" w:rsidRDefault="00564AF4" w:rsidP="00564AF4">
      <w:pPr>
        <w:rPr>
          <w:rFonts w:ascii="Montserrat" w:hAnsi="Montserrat"/>
          <w:sz w:val="20"/>
          <w:szCs w:val="20"/>
          <w:lang w:val="en-GB"/>
        </w:rPr>
      </w:pPr>
      <w:r w:rsidRPr="007E41D1">
        <w:rPr>
          <w:rFonts w:ascii="Montserrat" w:hAnsi="Montserrat"/>
          <w:sz w:val="20"/>
          <w:szCs w:val="20"/>
          <w:lang w:val="en-GB"/>
        </w:rPr>
        <w:t>The scoring of IATI data for two indicators is also “</w:t>
      </w:r>
      <w:r w:rsidRPr="007E41D1">
        <w:rPr>
          <w:rFonts w:ascii="Montserrat" w:hAnsi="Montserrat"/>
          <w:b/>
          <w:sz w:val="20"/>
          <w:szCs w:val="20"/>
          <w:lang w:val="en-GB"/>
        </w:rPr>
        <w:t>graduated on the proportion of countries”</w:t>
      </w:r>
      <w:r w:rsidRPr="007E41D1">
        <w:rPr>
          <w:rFonts w:ascii="Montserrat" w:hAnsi="Montserrat"/>
          <w:sz w:val="20"/>
          <w:szCs w:val="20"/>
          <w:lang w:val="en-GB"/>
        </w:rPr>
        <w:t xml:space="preserve"> in which an organisation is active and for which the re</w:t>
      </w:r>
      <w:r w:rsidR="008D0293" w:rsidRPr="007E41D1">
        <w:rPr>
          <w:rFonts w:ascii="Montserrat" w:hAnsi="Montserrat"/>
          <w:sz w:val="20"/>
          <w:szCs w:val="20"/>
          <w:lang w:val="en-GB"/>
        </w:rPr>
        <w:t>quired information is provided.</w:t>
      </w:r>
    </w:p>
    <w:p w:rsidR="00564AF4" w:rsidRPr="007E41D1" w:rsidRDefault="00564AF4" w:rsidP="00564AF4">
      <w:pPr>
        <w:pStyle w:val="ListParagraph"/>
        <w:numPr>
          <w:ilvl w:val="0"/>
          <w:numId w:val="7"/>
        </w:numPr>
        <w:rPr>
          <w:rFonts w:ascii="Montserrat" w:hAnsi="Montserrat"/>
          <w:sz w:val="20"/>
          <w:szCs w:val="20"/>
        </w:rPr>
      </w:pPr>
      <w:r w:rsidRPr="007E41D1">
        <w:rPr>
          <w:rFonts w:ascii="Montserrat" w:hAnsi="Montserrat"/>
          <w:b/>
          <w:sz w:val="20"/>
          <w:szCs w:val="20"/>
        </w:rPr>
        <w:t>Disaggregated budgets</w:t>
      </w:r>
      <w:r w:rsidRPr="007E41D1">
        <w:rPr>
          <w:rFonts w:ascii="Montserrat" w:hAnsi="Montserrat"/>
          <w:sz w:val="20"/>
          <w:szCs w:val="20"/>
        </w:rPr>
        <w:t>: when published in the IATI Standard, the scoring is based on the proportion of budgets published for countries where an organisation is active – or will be – for the next three years.</w:t>
      </w:r>
    </w:p>
    <w:p w:rsidR="00D23D80" w:rsidRPr="007E41D1" w:rsidRDefault="00564AF4" w:rsidP="00D23D80">
      <w:pPr>
        <w:pStyle w:val="ListParagraph"/>
        <w:numPr>
          <w:ilvl w:val="0"/>
          <w:numId w:val="7"/>
        </w:numPr>
        <w:rPr>
          <w:rFonts w:ascii="Montserrat" w:hAnsi="Montserrat"/>
          <w:sz w:val="20"/>
          <w:szCs w:val="20"/>
        </w:rPr>
      </w:pPr>
      <w:r w:rsidRPr="007E41D1">
        <w:rPr>
          <w:rFonts w:ascii="Montserrat" w:hAnsi="Montserrat"/>
          <w:b/>
          <w:sz w:val="20"/>
          <w:szCs w:val="20"/>
        </w:rPr>
        <w:t>Country strategy – MoUs:</w:t>
      </w:r>
      <w:r w:rsidRPr="007E41D1">
        <w:rPr>
          <w:rFonts w:ascii="Montserrat" w:hAnsi="Montserrat"/>
          <w:sz w:val="20"/>
          <w:szCs w:val="20"/>
        </w:rPr>
        <w:t xml:space="preserve"> when published in the IATI Standard, the scoring is based on the proportion of countries where a given organisation is active and for which a country strategy or MoU is provided.</w:t>
      </w:r>
    </w:p>
    <w:p w:rsidR="004A0D0E" w:rsidRPr="007E41D1" w:rsidRDefault="004A0D0E">
      <w:pPr>
        <w:rPr>
          <w:rFonts w:ascii="Montserrat" w:hAnsi="Montserrat"/>
          <w:sz w:val="20"/>
          <w:szCs w:val="20"/>
          <w:lang w:val="en-GB"/>
        </w:rPr>
      </w:pPr>
    </w:p>
    <w:p w:rsidR="004A0D0E" w:rsidRPr="007E41D1" w:rsidRDefault="004A0D0E">
      <w:pPr>
        <w:rPr>
          <w:rFonts w:asciiTheme="majorHAnsi" w:eastAsiaTheme="majorEastAsia" w:hAnsiTheme="majorHAnsi" w:cstheme="majorBidi"/>
          <w:color w:val="2E74B5" w:themeColor="accent1" w:themeShade="BF"/>
          <w:sz w:val="32"/>
          <w:szCs w:val="32"/>
          <w:lang w:val="en-GB"/>
        </w:rPr>
      </w:pPr>
      <w:bookmarkStart w:id="22" w:name="_Toc65502299"/>
      <w:r w:rsidRPr="007E41D1">
        <w:rPr>
          <w:lang w:val="en-GB"/>
        </w:rPr>
        <w:br w:type="page"/>
      </w:r>
    </w:p>
    <w:p w:rsidR="004A0D0E" w:rsidRPr="007E41D1" w:rsidRDefault="004A0D0E" w:rsidP="004A0D0E">
      <w:pPr>
        <w:pStyle w:val="Heading1"/>
        <w:rPr>
          <w:lang w:val="en-GB"/>
        </w:rPr>
      </w:pPr>
      <w:bookmarkStart w:id="23" w:name="_Toc66108870"/>
      <w:r w:rsidRPr="007E41D1">
        <w:rPr>
          <w:lang w:val="en-GB"/>
        </w:rPr>
        <w:t>Pre-project impact appraisals</w:t>
      </w:r>
      <w:bookmarkEnd w:id="23"/>
    </w:p>
    <w:p w:rsidR="004172A0" w:rsidRPr="007E41D1" w:rsidRDefault="004A0D0E" w:rsidP="004A0D0E">
      <w:pPr>
        <w:rPr>
          <w:lang w:val="en-GB"/>
        </w:rPr>
      </w:pPr>
      <w:r w:rsidRPr="007E41D1">
        <w:rPr>
          <w:lang w:val="en-GB"/>
        </w:rPr>
        <w:t xml:space="preserve">We had considered broadening the definition of the </w:t>
      </w:r>
      <w:r w:rsidRPr="007E41D1">
        <w:rPr>
          <w:b/>
          <w:lang w:val="en-GB"/>
        </w:rPr>
        <w:t>Pre-project impact appraisals</w:t>
      </w:r>
      <w:r w:rsidRPr="007E41D1">
        <w:rPr>
          <w:lang w:val="en-GB"/>
        </w:rPr>
        <w:t xml:space="preserve"> indicator to allow more document types to meet the requirements for the indicator. However, following our consultations and upon further reflec</w:t>
      </w:r>
      <w:r w:rsidR="004172A0" w:rsidRPr="007E41D1">
        <w:rPr>
          <w:lang w:val="en-GB"/>
        </w:rPr>
        <w:t>tion we have concluded that the definition does not need to be expanded further. For the 2020 Index we excluded most aid types from the indicator test, meaning it now only runs on project-type interventions. This will remove non-relevant activities from the test.  We have made some additional changes to the definition, however.  We will now require Development Finance Institutions we assess to publish full appraisal documents for their high-risk projects, rather than summary documents.</w:t>
      </w:r>
    </w:p>
    <w:p w:rsidR="004172A0" w:rsidRPr="007E41D1" w:rsidRDefault="004172A0" w:rsidP="004172A0">
      <w:pPr>
        <w:rPr>
          <w:b/>
          <w:u w:val="single"/>
          <w:lang w:val="en-GB"/>
        </w:rPr>
      </w:pPr>
      <w:r w:rsidRPr="007E41D1">
        <w:rPr>
          <w:b/>
          <w:u w:val="single"/>
          <w:lang w:val="en-GB"/>
        </w:rPr>
        <w:t>33. Pre-project impact appraisal</w:t>
      </w:r>
    </w:p>
    <w:p w:rsidR="00D65F9E" w:rsidRPr="007E41D1" w:rsidRDefault="00D65F9E" w:rsidP="004172A0">
      <w:pPr>
        <w:rPr>
          <w:b/>
          <w:lang w:val="en-GB"/>
        </w:rPr>
      </w:pPr>
      <w:r w:rsidRPr="007E41D1">
        <w:rPr>
          <w:b/>
          <w:lang w:val="en-GB"/>
        </w:rPr>
        <w:t>Survey question</w:t>
      </w:r>
    </w:p>
    <w:p w:rsidR="00D65F9E" w:rsidRPr="007E41D1" w:rsidRDefault="004172A0" w:rsidP="004172A0">
      <w:pPr>
        <w:rPr>
          <w:lang w:val="en-GB"/>
        </w:rPr>
      </w:pPr>
      <w:r w:rsidRPr="007E41D1">
        <w:rPr>
          <w:lang w:val="en-GB"/>
        </w:rPr>
        <w:t xml:space="preserve">Is a pre-project impact appraisal published? </w:t>
      </w:r>
    </w:p>
    <w:p w:rsidR="00D65F9E" w:rsidRPr="007E41D1" w:rsidRDefault="00D65F9E" w:rsidP="004172A0">
      <w:pPr>
        <w:rPr>
          <w:b/>
          <w:lang w:val="en-GB"/>
        </w:rPr>
      </w:pPr>
      <w:r w:rsidRPr="007E41D1">
        <w:rPr>
          <w:b/>
          <w:lang w:val="en-GB"/>
        </w:rPr>
        <w:t>Definition</w:t>
      </w:r>
    </w:p>
    <w:p w:rsidR="00D65F9E" w:rsidRPr="007E41D1" w:rsidRDefault="004172A0" w:rsidP="004172A0">
      <w:pPr>
        <w:rPr>
          <w:lang w:val="en-GB"/>
        </w:rPr>
      </w:pPr>
      <w:r w:rsidRPr="007E41D1">
        <w:rPr>
          <w:lang w:val="en-GB"/>
        </w:rPr>
        <w:t xml:space="preserve">Pre-project impact appraisals explain the totality of positive and negative, primary and secondary effects expected to be produced by a development intervention. </w:t>
      </w:r>
    </w:p>
    <w:p w:rsidR="00D65F9E" w:rsidRPr="007E41D1" w:rsidRDefault="004172A0" w:rsidP="004172A0">
      <w:pPr>
        <w:rPr>
          <w:lang w:val="en-GB"/>
        </w:rPr>
      </w:pPr>
      <w:r w:rsidRPr="007E41D1">
        <w:rPr>
          <w:lang w:val="en-GB"/>
        </w:rPr>
        <w:t>Environmental</w:t>
      </w:r>
      <w:r w:rsidR="00D65F9E" w:rsidRPr="00CA5DD3">
        <w:rPr>
          <w:color w:val="FF0000"/>
          <w:lang w:val="en-GB"/>
        </w:rPr>
        <w:t>, social and human rights</w:t>
      </w:r>
      <w:r w:rsidRPr="00CA5DD3">
        <w:rPr>
          <w:color w:val="FF0000"/>
          <w:lang w:val="en-GB"/>
        </w:rPr>
        <w:t xml:space="preserve"> </w:t>
      </w:r>
      <w:r w:rsidRPr="007E41D1">
        <w:rPr>
          <w:lang w:val="en-GB"/>
        </w:rPr>
        <w:t>impact assessments</w:t>
      </w:r>
      <w:r w:rsidRPr="007E41D1">
        <w:rPr>
          <w:lang w:val="en-GB"/>
        </w:rPr>
        <w:t xml:space="preserve"> </w:t>
      </w:r>
      <w:r w:rsidRPr="00CA5DD3">
        <w:rPr>
          <w:strike/>
          <w:color w:val="FF0000"/>
          <w:lang w:val="en-GB"/>
        </w:rPr>
        <w:t>as well as impact assessments that explain what objectives the project itself intends to provide</w:t>
      </w:r>
      <w:r w:rsidR="00D65F9E" w:rsidRPr="007E41D1">
        <w:rPr>
          <w:lang w:val="en-GB"/>
        </w:rPr>
        <w:t xml:space="preserve"> </w:t>
      </w:r>
      <w:r w:rsidRPr="007E41D1">
        <w:rPr>
          <w:lang w:val="en-GB"/>
        </w:rPr>
        <w:t xml:space="preserve">are accepted. The IATI reference for this indicator is: Pre and post-project impact appraisal (document code = A01). </w:t>
      </w:r>
    </w:p>
    <w:p w:rsidR="00D65F9E" w:rsidRPr="007E41D1" w:rsidRDefault="004172A0" w:rsidP="004172A0">
      <w:pPr>
        <w:rPr>
          <w:lang w:val="en-GB"/>
        </w:rPr>
      </w:pPr>
      <w:r w:rsidRPr="007E41D1">
        <w:rPr>
          <w:lang w:val="en-GB"/>
        </w:rPr>
        <w:t xml:space="preserve">IFIs and DFIs tend only to publish impact appraisals if regulations require them to, but given the link they have to the eventual impact and results of the activity, all organisations are scored on this indicator. </w:t>
      </w:r>
    </w:p>
    <w:p w:rsidR="00D65F9E" w:rsidRPr="007E41D1" w:rsidRDefault="004172A0" w:rsidP="004172A0">
      <w:pPr>
        <w:rPr>
          <w:lang w:val="en-GB"/>
        </w:rPr>
      </w:pPr>
      <w:r w:rsidRPr="007E41D1">
        <w:rPr>
          <w:lang w:val="en-GB"/>
        </w:rPr>
        <w:t xml:space="preserve">For loans or private sector investment, risk assessments and the fiscal objectives detailed in the loan document are accepted. These need to be sufficiently detailed and include any criteria used to assess eligibility for receiving the loan. </w:t>
      </w:r>
      <w:r w:rsidR="007E41D1" w:rsidRPr="00CA5DD3">
        <w:rPr>
          <w:color w:val="FF0000"/>
          <w:lang w:val="en-GB"/>
        </w:rPr>
        <w:t>For</w:t>
      </w:r>
      <w:r w:rsidR="00560633" w:rsidRPr="00CA5DD3">
        <w:rPr>
          <w:color w:val="FF0000"/>
          <w:lang w:val="en-GB"/>
        </w:rPr>
        <w:t xml:space="preserve"> DFI</w:t>
      </w:r>
      <w:r w:rsidR="007E41D1" w:rsidRPr="00CA5DD3">
        <w:rPr>
          <w:color w:val="FF0000"/>
          <w:lang w:val="en-GB"/>
        </w:rPr>
        <w:t xml:space="preserve"> projects categorised as high-risk </w:t>
      </w:r>
      <w:r w:rsidR="00AE1D28" w:rsidRPr="00CA5DD3">
        <w:rPr>
          <w:color w:val="FF0000"/>
          <w:lang w:val="en-GB"/>
        </w:rPr>
        <w:t>(</w:t>
      </w:r>
      <w:r w:rsidR="00560633" w:rsidRPr="00CA5DD3">
        <w:rPr>
          <w:color w:val="FF0000"/>
          <w:lang w:val="en-GB"/>
        </w:rPr>
        <w:t xml:space="preserve">environmental or social </w:t>
      </w:r>
      <w:r w:rsidR="00AE1D28" w:rsidRPr="00CA5DD3">
        <w:rPr>
          <w:color w:val="FF0000"/>
          <w:lang w:val="en-GB"/>
        </w:rPr>
        <w:t>risk category A</w:t>
      </w:r>
      <w:r w:rsidR="00560633" w:rsidRPr="00CA5DD3">
        <w:rPr>
          <w:color w:val="FF0000"/>
          <w:lang w:val="en-GB"/>
        </w:rPr>
        <w:t xml:space="preserve"> or equivalent</w:t>
      </w:r>
      <w:r w:rsidR="00AE1D28" w:rsidRPr="00CA5DD3">
        <w:rPr>
          <w:color w:val="FF0000"/>
          <w:lang w:val="en-GB"/>
        </w:rPr>
        <w:t>)</w:t>
      </w:r>
      <w:r w:rsidR="007E41D1" w:rsidRPr="00CA5DD3">
        <w:rPr>
          <w:color w:val="FF0000"/>
          <w:lang w:val="en-GB"/>
        </w:rPr>
        <w:t xml:space="preserve"> the full impact appraisal document</w:t>
      </w:r>
      <w:r w:rsidR="00AE1D28" w:rsidRPr="00CA5DD3">
        <w:rPr>
          <w:color w:val="FF0000"/>
          <w:lang w:val="en-GB"/>
        </w:rPr>
        <w:t>(s)</w:t>
      </w:r>
      <w:r w:rsidR="007E41D1" w:rsidRPr="00CA5DD3">
        <w:rPr>
          <w:color w:val="FF0000"/>
          <w:lang w:val="en-GB"/>
        </w:rPr>
        <w:t xml:space="preserve"> should be published</w:t>
      </w:r>
      <w:r w:rsidR="00AE1D28" w:rsidRPr="00CA5DD3">
        <w:rPr>
          <w:color w:val="FF0000"/>
          <w:lang w:val="en-GB"/>
        </w:rPr>
        <w:t>. A summary of the appraisal will not be sufficient.</w:t>
      </w:r>
    </w:p>
    <w:p w:rsidR="00D65F9E" w:rsidRPr="007E41D1" w:rsidRDefault="004172A0" w:rsidP="004172A0">
      <w:pPr>
        <w:rPr>
          <w:lang w:val="en-GB"/>
        </w:rPr>
      </w:pPr>
      <w:r w:rsidRPr="007E41D1">
        <w:rPr>
          <w:lang w:val="en-GB"/>
        </w:rPr>
        <w:t xml:space="preserve">Humanitarian Implementation Plans (HIPs) and project plans are accepted for humanitarian agencies. </w:t>
      </w:r>
    </w:p>
    <w:p w:rsidR="004172A0" w:rsidRPr="007E41D1" w:rsidRDefault="004172A0" w:rsidP="004172A0">
      <w:pPr>
        <w:rPr>
          <w:lang w:val="en-GB"/>
        </w:rPr>
      </w:pPr>
      <w:r w:rsidRPr="007E41D1">
        <w:rPr>
          <w:lang w:val="en-GB"/>
        </w:rPr>
        <w:t>If an official internal procedure has concluded that a pre</w:t>
      </w:r>
      <w:r w:rsidR="00D65F9E" w:rsidRPr="007E41D1">
        <w:rPr>
          <w:lang w:val="en-GB"/>
        </w:rPr>
        <w:t>-</w:t>
      </w:r>
      <w:r w:rsidRPr="007E41D1">
        <w:rPr>
          <w:lang w:val="en-GB"/>
        </w:rPr>
        <w:t>project impact appraisal is not necessary for a particular project or programme, official documentation confirming this will be accepted in lieu of an appraisal document.</w:t>
      </w:r>
    </w:p>
    <w:p w:rsidR="004172A0" w:rsidRPr="007E41D1" w:rsidRDefault="004172A0" w:rsidP="004A0D0E">
      <w:pPr>
        <w:rPr>
          <w:lang w:val="en-GB"/>
        </w:rPr>
      </w:pPr>
    </w:p>
    <w:p w:rsidR="004A0D0E" w:rsidRPr="007E41D1" w:rsidRDefault="004172A0" w:rsidP="004A0D0E">
      <w:pPr>
        <w:rPr>
          <w:lang w:val="en-GB"/>
        </w:rPr>
      </w:pPr>
      <w:r w:rsidRPr="007E41D1">
        <w:rPr>
          <w:lang w:val="en-GB"/>
        </w:rPr>
        <w:t xml:space="preserve">  </w:t>
      </w:r>
      <w:r w:rsidR="004A0D0E" w:rsidRPr="007E41D1">
        <w:rPr>
          <w:lang w:val="en-GB"/>
        </w:rPr>
        <w:br w:type="page"/>
      </w:r>
    </w:p>
    <w:p w:rsidR="00564AF4" w:rsidRPr="007E41D1" w:rsidRDefault="007C74FA" w:rsidP="007C74FA">
      <w:pPr>
        <w:pStyle w:val="Heading1"/>
        <w:rPr>
          <w:lang w:val="en-GB"/>
        </w:rPr>
      </w:pPr>
      <w:bookmarkStart w:id="24" w:name="_Toc66108871"/>
      <w:r w:rsidRPr="007E41D1">
        <w:rPr>
          <w:lang w:val="en-GB"/>
        </w:rPr>
        <w:t>Weightings</w:t>
      </w:r>
      <w:bookmarkEnd w:id="22"/>
      <w:bookmarkEnd w:id="24"/>
    </w:p>
    <w:tbl>
      <w:tblPr>
        <w:tblW w:w="10780" w:type="dxa"/>
        <w:tblLook w:val="04A0" w:firstRow="1" w:lastRow="0" w:firstColumn="1" w:lastColumn="0" w:noHBand="0" w:noVBand="1"/>
      </w:tblPr>
      <w:tblGrid>
        <w:gridCol w:w="3220"/>
        <w:gridCol w:w="4240"/>
        <w:gridCol w:w="1400"/>
        <w:gridCol w:w="960"/>
        <w:gridCol w:w="960"/>
      </w:tblGrid>
      <w:tr w:rsidR="004B5799" w:rsidRPr="007E41D1" w:rsidTr="004B5799">
        <w:trPr>
          <w:trHeight w:val="412"/>
        </w:trPr>
        <w:tc>
          <w:tcPr>
            <w:tcW w:w="3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5799" w:rsidRPr="007E41D1" w:rsidRDefault="004B5799" w:rsidP="004B5799">
            <w:pPr>
              <w:spacing w:after="0" w:line="240" w:lineRule="auto"/>
              <w:rPr>
                <w:rFonts w:ascii="Montserrat" w:eastAsia="Times New Roman" w:hAnsi="Montserrat" w:cs="Calibri"/>
                <w:color w:val="000000"/>
                <w:lang w:val="en-GB"/>
              </w:rPr>
            </w:pPr>
            <w:r w:rsidRPr="007E41D1">
              <w:rPr>
                <w:rFonts w:ascii="Montserrat" w:eastAsia="Times New Roman" w:hAnsi="Montserrat" w:cs="Calibri"/>
                <w:color w:val="000000"/>
                <w:sz w:val="18"/>
                <w:szCs w:val="18"/>
                <w:lang w:val="en-GB"/>
              </w:rPr>
              <w:t>Component</w:t>
            </w:r>
          </w:p>
        </w:tc>
        <w:tc>
          <w:tcPr>
            <w:tcW w:w="4240" w:type="dxa"/>
            <w:tcBorders>
              <w:top w:val="single" w:sz="8" w:space="0" w:color="auto"/>
              <w:left w:val="nil"/>
              <w:bottom w:val="single" w:sz="8" w:space="0" w:color="auto"/>
              <w:right w:val="single" w:sz="8" w:space="0" w:color="auto"/>
            </w:tcBorders>
            <w:shd w:val="clear" w:color="000000" w:fill="FFFFFF"/>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Indicator</w:t>
            </w:r>
          </w:p>
        </w:tc>
        <w:tc>
          <w:tcPr>
            <w:tcW w:w="1400" w:type="dxa"/>
            <w:tcBorders>
              <w:top w:val="single" w:sz="8" w:space="0" w:color="auto"/>
              <w:left w:val="nil"/>
              <w:bottom w:val="single" w:sz="8" w:space="0" w:color="auto"/>
              <w:right w:val="single" w:sz="8" w:space="0" w:color="auto"/>
            </w:tcBorders>
            <w:shd w:val="clear" w:color="000000" w:fill="FFFFFF"/>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Weightings</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val="restart"/>
            <w:tcBorders>
              <w:top w:val="nil"/>
              <w:left w:val="single" w:sz="8" w:space="0" w:color="auto"/>
              <w:bottom w:val="nil"/>
              <w:right w:val="single" w:sz="8" w:space="0" w:color="auto"/>
            </w:tcBorders>
            <w:shd w:val="clear" w:color="000000" w:fill="82AAC3"/>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Organisational planning and commitments</w:t>
            </w:r>
          </w:p>
        </w:tc>
        <w:tc>
          <w:tcPr>
            <w:tcW w:w="424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Quality of FOI legislation</w:t>
            </w:r>
          </w:p>
        </w:tc>
        <w:tc>
          <w:tcPr>
            <w:tcW w:w="140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1.875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vMerge w:val="restart"/>
            <w:tcBorders>
              <w:top w:val="nil"/>
              <w:left w:val="nil"/>
              <w:bottom w:val="nil"/>
              <w:right w:val="nil"/>
            </w:tcBorders>
            <w:shd w:val="clear" w:color="auto" w:fill="auto"/>
            <w:textDirection w:val="tbRl"/>
            <w:vAlign w:val="center"/>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nil"/>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Accessibility</w:t>
            </w:r>
          </w:p>
        </w:tc>
        <w:tc>
          <w:tcPr>
            <w:tcW w:w="140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1.875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nil"/>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Organisation strategy</w:t>
            </w:r>
          </w:p>
        </w:tc>
        <w:tc>
          <w:tcPr>
            <w:tcW w:w="140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1.875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nil"/>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Annual report</w:t>
            </w:r>
          </w:p>
        </w:tc>
        <w:tc>
          <w:tcPr>
            <w:tcW w:w="140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1.875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nil"/>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Allocation policy</w:t>
            </w:r>
          </w:p>
        </w:tc>
        <w:tc>
          <w:tcPr>
            <w:tcW w:w="140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1.875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615"/>
        </w:trPr>
        <w:tc>
          <w:tcPr>
            <w:tcW w:w="3220" w:type="dxa"/>
            <w:vMerge/>
            <w:tcBorders>
              <w:top w:val="nil"/>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Strategy (country/sector)/memorandum of understanding</w:t>
            </w:r>
          </w:p>
        </w:tc>
        <w:tc>
          <w:tcPr>
            <w:tcW w:w="140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1.875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nil"/>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Procurement policy</w:t>
            </w:r>
          </w:p>
        </w:tc>
        <w:tc>
          <w:tcPr>
            <w:tcW w:w="140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1.875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nil"/>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Audit</w:t>
            </w:r>
          </w:p>
        </w:tc>
        <w:tc>
          <w:tcPr>
            <w:tcW w:w="140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1.875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90"/>
        </w:trPr>
        <w:tc>
          <w:tcPr>
            <w:tcW w:w="3220" w:type="dxa"/>
            <w:tcBorders>
              <w:top w:val="nil"/>
              <w:left w:val="single" w:sz="8" w:space="0" w:color="auto"/>
              <w:bottom w:val="nil"/>
              <w:right w:val="single" w:sz="8" w:space="0" w:color="auto"/>
            </w:tcBorders>
            <w:shd w:val="clear" w:color="000000" w:fill="82AAC3"/>
            <w:vAlign w:val="center"/>
            <w:hideMark/>
          </w:tcPr>
          <w:p w:rsidR="004B5799" w:rsidRPr="007E41D1" w:rsidRDefault="004B5799" w:rsidP="004B5799">
            <w:pPr>
              <w:spacing w:after="0" w:line="240" w:lineRule="auto"/>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 </w:t>
            </w:r>
          </w:p>
        </w:tc>
        <w:tc>
          <w:tcPr>
            <w:tcW w:w="424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TOTAL</w:t>
            </w:r>
          </w:p>
        </w:tc>
        <w:tc>
          <w:tcPr>
            <w:tcW w:w="1400" w:type="dxa"/>
            <w:tcBorders>
              <w:top w:val="nil"/>
              <w:left w:val="nil"/>
              <w:bottom w:val="single" w:sz="8" w:space="0" w:color="auto"/>
              <w:right w:val="single" w:sz="8" w:space="0" w:color="auto"/>
            </w:tcBorders>
            <w:shd w:val="clear" w:color="000000" w:fill="82AAC3"/>
            <w:vAlign w:val="center"/>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15.0</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val="restart"/>
            <w:tcBorders>
              <w:top w:val="single" w:sz="8" w:space="0" w:color="auto"/>
              <w:left w:val="single" w:sz="8" w:space="0" w:color="auto"/>
              <w:bottom w:val="nil"/>
              <w:right w:val="single" w:sz="8" w:space="0" w:color="auto"/>
            </w:tcBorders>
            <w:shd w:val="clear" w:color="000000" w:fill="9CC2E5"/>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Finance and budgets</w:t>
            </w:r>
          </w:p>
        </w:tc>
        <w:tc>
          <w:tcPr>
            <w:tcW w:w="424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Total organisation budget</w:t>
            </w:r>
          </w:p>
        </w:tc>
        <w:tc>
          <w:tcPr>
            <w:tcW w:w="140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4.17</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single" w:sz="8" w:space="0" w:color="auto"/>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Disaggregated budget</w:t>
            </w:r>
          </w:p>
        </w:tc>
        <w:tc>
          <w:tcPr>
            <w:tcW w:w="140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4.17</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single" w:sz="8" w:space="0" w:color="auto"/>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Project budget</w:t>
            </w:r>
          </w:p>
        </w:tc>
        <w:tc>
          <w:tcPr>
            <w:tcW w:w="140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3.33</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single" w:sz="8" w:space="0" w:color="auto"/>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Project budget document</w:t>
            </w:r>
          </w:p>
        </w:tc>
        <w:tc>
          <w:tcPr>
            <w:tcW w:w="140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3.33</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single" w:sz="8" w:space="0" w:color="auto"/>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Commitments</w:t>
            </w:r>
          </w:p>
        </w:tc>
        <w:tc>
          <w:tcPr>
            <w:tcW w:w="140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3.33</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single" w:sz="8" w:space="0" w:color="auto"/>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Disbursements and expenditure</w:t>
            </w:r>
          </w:p>
        </w:tc>
        <w:tc>
          <w:tcPr>
            <w:tcW w:w="140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3.33</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single" w:sz="8" w:space="0" w:color="auto"/>
              <w:left w:val="single" w:sz="8" w:space="0" w:color="auto"/>
              <w:bottom w:val="nil"/>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Budget alignment*</w:t>
            </w:r>
          </w:p>
        </w:tc>
        <w:tc>
          <w:tcPr>
            <w:tcW w:w="140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3.33</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90"/>
        </w:trPr>
        <w:tc>
          <w:tcPr>
            <w:tcW w:w="3220" w:type="dxa"/>
            <w:tcBorders>
              <w:top w:val="nil"/>
              <w:left w:val="single" w:sz="8" w:space="0" w:color="auto"/>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TOTAL</w:t>
            </w:r>
          </w:p>
        </w:tc>
        <w:tc>
          <w:tcPr>
            <w:tcW w:w="1400" w:type="dxa"/>
            <w:tcBorders>
              <w:top w:val="nil"/>
              <w:left w:val="nil"/>
              <w:bottom w:val="single" w:sz="8" w:space="0" w:color="auto"/>
              <w:right w:val="single" w:sz="8" w:space="0" w:color="auto"/>
            </w:tcBorders>
            <w:shd w:val="clear" w:color="000000" w:fill="9CC2E5"/>
            <w:vAlign w:val="center"/>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25.0</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Title</w:t>
            </w:r>
          </w:p>
        </w:tc>
        <w:tc>
          <w:tcPr>
            <w:tcW w:w="140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Description</w:t>
            </w:r>
          </w:p>
        </w:tc>
        <w:tc>
          <w:tcPr>
            <w:tcW w:w="140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Planned dates</w:t>
            </w:r>
          </w:p>
        </w:tc>
        <w:tc>
          <w:tcPr>
            <w:tcW w:w="140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Actual dates</w:t>
            </w:r>
          </w:p>
        </w:tc>
        <w:tc>
          <w:tcPr>
            <w:tcW w:w="140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Current status</w:t>
            </w:r>
          </w:p>
        </w:tc>
        <w:tc>
          <w:tcPr>
            <w:tcW w:w="140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Project attributes</w:t>
            </w:r>
          </w:p>
        </w:tc>
        <w:tc>
          <w:tcPr>
            <w:tcW w:w="424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Contact details</w:t>
            </w:r>
          </w:p>
        </w:tc>
        <w:tc>
          <w:tcPr>
            <w:tcW w:w="140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1</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Sector</w:t>
            </w:r>
          </w:p>
        </w:tc>
        <w:tc>
          <w:tcPr>
            <w:tcW w:w="140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Sub-national location*</w:t>
            </w:r>
          </w:p>
        </w:tc>
        <w:tc>
          <w:tcPr>
            <w:tcW w:w="140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FFFF00"/>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Conditions</w:t>
            </w:r>
          </w:p>
        </w:tc>
        <w:tc>
          <w:tcPr>
            <w:tcW w:w="1400" w:type="dxa"/>
            <w:tcBorders>
              <w:top w:val="nil"/>
              <w:left w:val="nil"/>
              <w:bottom w:val="single" w:sz="8" w:space="0" w:color="auto"/>
              <w:right w:val="single" w:sz="8" w:space="0" w:color="auto"/>
            </w:tcBorders>
            <w:shd w:val="clear" w:color="000000" w:fill="FFFF00"/>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Unique ID</w:t>
            </w:r>
          </w:p>
        </w:tc>
        <w:tc>
          <w:tcPr>
            <w:tcW w:w="140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90"/>
        </w:trPr>
        <w:tc>
          <w:tcPr>
            <w:tcW w:w="3220" w:type="dxa"/>
            <w:tcBorders>
              <w:top w:val="nil"/>
              <w:left w:val="single" w:sz="8" w:space="0" w:color="auto"/>
              <w:bottom w:val="nil"/>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TOTAL</w:t>
            </w:r>
          </w:p>
        </w:tc>
        <w:tc>
          <w:tcPr>
            <w:tcW w:w="1400" w:type="dxa"/>
            <w:tcBorders>
              <w:top w:val="nil"/>
              <w:left w:val="nil"/>
              <w:bottom w:val="single" w:sz="8" w:space="0" w:color="auto"/>
              <w:right w:val="single" w:sz="8" w:space="0" w:color="auto"/>
            </w:tcBorders>
            <w:shd w:val="clear" w:color="000000" w:fill="BDD6EE"/>
            <w:vAlign w:val="center"/>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20.0</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p>
        </w:tc>
        <w:tc>
          <w:tcPr>
            <w:tcW w:w="960" w:type="dxa"/>
            <w:vMerge w:val="restart"/>
            <w:tcBorders>
              <w:top w:val="nil"/>
              <w:left w:val="nil"/>
              <w:bottom w:val="nil"/>
              <w:right w:val="nil"/>
            </w:tcBorders>
            <w:shd w:val="clear" w:color="auto" w:fill="auto"/>
            <w:textDirection w:val="tbRl"/>
            <w:vAlign w:val="center"/>
            <w:hideMark/>
          </w:tcPr>
          <w:p w:rsidR="004B5799" w:rsidRPr="007E41D1" w:rsidRDefault="004B5799" w:rsidP="004B5799">
            <w:pPr>
              <w:spacing w:after="0" w:line="240" w:lineRule="auto"/>
              <w:jc w:val="center"/>
              <w:rPr>
                <w:rFonts w:ascii="Calibri" w:eastAsia="Times New Roman" w:hAnsi="Calibri" w:cs="Calibri"/>
                <w:color w:val="000000"/>
                <w:lang w:val="en-GB"/>
              </w:rPr>
            </w:pPr>
            <w:r w:rsidRPr="007E41D1">
              <w:rPr>
                <w:rFonts w:ascii="Calibri" w:eastAsia="Times New Roman" w:hAnsi="Calibri" w:cs="Calibri"/>
                <w:color w:val="000000"/>
                <w:lang w:val="en-GB"/>
              </w:rPr>
              <w:t>These have been reduced to accommodate Networked data</w:t>
            </w:r>
          </w:p>
        </w:tc>
      </w:tr>
      <w:tr w:rsidR="004B5799" w:rsidRPr="007E41D1" w:rsidTr="004B5799">
        <w:trPr>
          <w:trHeight w:val="315"/>
        </w:trPr>
        <w:tc>
          <w:tcPr>
            <w:tcW w:w="3220" w:type="dxa"/>
            <w:tcBorders>
              <w:top w:val="single" w:sz="8" w:space="0" w:color="auto"/>
              <w:left w:val="single" w:sz="8" w:space="0" w:color="auto"/>
              <w:bottom w:val="nil"/>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Flow type</w:t>
            </w:r>
          </w:p>
        </w:tc>
        <w:tc>
          <w:tcPr>
            <w:tcW w:w="140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w:t>
            </w:r>
          </w:p>
        </w:tc>
        <w:tc>
          <w:tcPr>
            <w:tcW w:w="960" w:type="dxa"/>
            <w:vMerge w:val="restart"/>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Calibri" w:eastAsia="Times New Roman" w:hAnsi="Calibri" w:cs="Calibri"/>
                <w:color w:val="000000"/>
                <w:lang w:val="en-GB"/>
              </w:rPr>
            </w:pPr>
            <w:r w:rsidRPr="007E41D1">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-1231265</wp:posOffset>
                      </wp:positionV>
                      <wp:extent cx="219075" cy="1000125"/>
                      <wp:effectExtent l="0" t="0" r="47625" b="28575"/>
                      <wp:wrapNone/>
                      <wp:docPr id="5" name="Right Brace 5"/>
                      <wp:cNvGraphicFramePr/>
                      <a:graphic xmlns:a="http://schemas.openxmlformats.org/drawingml/2006/main">
                        <a:graphicData uri="http://schemas.microsoft.com/office/word/2010/wordprocessingShape">
                          <wps:wsp>
                            <wps:cNvSpPr/>
                            <wps:spPr>
                              <a:xfrm>
                                <a:off x="0" y="0"/>
                                <a:ext cx="123824" cy="981075"/>
                              </a:xfrm>
                              <a:prstGeom prst="rightBrace">
                                <a:avLst/>
                              </a:prstGeom>
                              <a:ln w="22225"/>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1C4F1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7.95pt;margin-top:-96.95pt;width:17.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" adj="227" strokecolor="black [3200]" strokeweight="1.75pt">
                      <v:stroke joinstyle="miter"/>
                    </v:shape>
                  </w:pict>
                </mc:Fallback>
              </mc:AlternateContent>
            </w: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Aid type</w:t>
            </w:r>
          </w:p>
        </w:tc>
        <w:tc>
          <w:tcPr>
            <w:tcW w:w="140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w:t>
            </w: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Finance type</w:t>
            </w:r>
          </w:p>
        </w:tc>
        <w:tc>
          <w:tcPr>
            <w:tcW w:w="140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w:t>
            </w: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Joining-up development data</w:t>
            </w:r>
          </w:p>
        </w:tc>
        <w:tc>
          <w:tcPr>
            <w:tcW w:w="424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Tied aid status</w:t>
            </w:r>
          </w:p>
        </w:tc>
        <w:tc>
          <w:tcPr>
            <w:tcW w:w="140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w:t>
            </w: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Project procurement</w:t>
            </w:r>
          </w:p>
        </w:tc>
        <w:tc>
          <w:tcPr>
            <w:tcW w:w="140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3</w:t>
            </w: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r>
      <w:tr w:rsidR="004B5799" w:rsidRPr="007E41D1" w:rsidTr="004B5799">
        <w:trPr>
          <w:trHeight w:val="315"/>
        </w:trPr>
        <w:tc>
          <w:tcPr>
            <w:tcW w:w="3220" w:type="dxa"/>
            <w:tcBorders>
              <w:top w:val="nil"/>
              <w:left w:val="single" w:sz="8" w:space="0" w:color="auto"/>
              <w:bottom w:val="nil"/>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FFFF00"/>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Networked data</w:t>
            </w:r>
          </w:p>
        </w:tc>
        <w:tc>
          <w:tcPr>
            <w:tcW w:w="1400" w:type="dxa"/>
            <w:tcBorders>
              <w:top w:val="nil"/>
              <w:left w:val="nil"/>
              <w:bottom w:val="single" w:sz="8" w:space="0" w:color="auto"/>
              <w:right w:val="single" w:sz="8" w:space="0" w:color="auto"/>
            </w:tcBorders>
            <w:shd w:val="clear" w:color="000000" w:fill="FFFF00"/>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5</w:t>
            </w: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r>
      <w:tr w:rsidR="004B5799" w:rsidRPr="007E41D1" w:rsidTr="004B5799">
        <w:trPr>
          <w:trHeight w:val="390"/>
        </w:trPr>
        <w:tc>
          <w:tcPr>
            <w:tcW w:w="3220" w:type="dxa"/>
            <w:tcBorders>
              <w:top w:val="nil"/>
              <w:left w:val="single" w:sz="8" w:space="0" w:color="auto"/>
              <w:bottom w:val="nil"/>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TOTAL</w:t>
            </w:r>
          </w:p>
        </w:tc>
        <w:tc>
          <w:tcPr>
            <w:tcW w:w="1400" w:type="dxa"/>
            <w:tcBorders>
              <w:top w:val="nil"/>
              <w:left w:val="nil"/>
              <w:bottom w:val="single" w:sz="8" w:space="0" w:color="auto"/>
              <w:right w:val="single" w:sz="8" w:space="0" w:color="auto"/>
            </w:tcBorders>
            <w:shd w:val="clear" w:color="000000" w:fill="DEEAF6"/>
            <w:vAlign w:val="center"/>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20.0</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p>
        </w:tc>
        <w:tc>
          <w:tcPr>
            <w:tcW w:w="960" w:type="dxa"/>
            <w:vMerge/>
            <w:tcBorders>
              <w:top w:val="nil"/>
              <w:left w:val="nil"/>
              <w:bottom w:val="nil"/>
              <w:right w:val="nil"/>
            </w:tcBorders>
            <w:vAlign w:val="center"/>
            <w:hideMark/>
          </w:tcPr>
          <w:p w:rsidR="004B5799" w:rsidRPr="007E41D1" w:rsidRDefault="004B5799" w:rsidP="004B5799">
            <w:pPr>
              <w:spacing w:after="0" w:line="240" w:lineRule="auto"/>
              <w:rPr>
                <w:rFonts w:ascii="Calibri" w:eastAsia="Times New Roman" w:hAnsi="Calibri" w:cs="Calibri"/>
                <w:color w:val="000000"/>
                <w:lang w:val="en-GB"/>
              </w:rPr>
            </w:pPr>
          </w:p>
        </w:tc>
      </w:tr>
      <w:tr w:rsidR="004B5799" w:rsidRPr="007E41D1" w:rsidTr="004B5799">
        <w:trPr>
          <w:trHeight w:val="315"/>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Performance</w:t>
            </w:r>
          </w:p>
        </w:tc>
        <w:tc>
          <w:tcPr>
            <w:tcW w:w="4240" w:type="dxa"/>
            <w:tcBorders>
              <w:top w:val="nil"/>
              <w:left w:val="nil"/>
              <w:bottom w:val="single" w:sz="8" w:space="0" w:color="auto"/>
              <w:right w:val="single" w:sz="8" w:space="0" w:color="auto"/>
            </w:tcBorders>
            <w:shd w:val="clear" w:color="auto" w:fill="auto"/>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Objectives</w:t>
            </w:r>
          </w:p>
        </w:tc>
        <w:tc>
          <w:tcPr>
            <w:tcW w:w="1400" w:type="dxa"/>
            <w:tcBorders>
              <w:top w:val="nil"/>
              <w:left w:val="nil"/>
              <w:bottom w:val="single" w:sz="8" w:space="0" w:color="auto"/>
              <w:right w:val="single" w:sz="8" w:space="0" w:color="auto"/>
            </w:tcBorders>
            <w:shd w:val="clear" w:color="auto" w:fill="auto"/>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auto" w:fill="auto"/>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Pre-project impact appraisal</w:t>
            </w:r>
          </w:p>
        </w:tc>
        <w:tc>
          <w:tcPr>
            <w:tcW w:w="1400" w:type="dxa"/>
            <w:tcBorders>
              <w:top w:val="nil"/>
              <w:left w:val="nil"/>
              <w:bottom w:val="single" w:sz="8" w:space="0" w:color="auto"/>
              <w:right w:val="single" w:sz="8" w:space="0" w:color="auto"/>
            </w:tcBorders>
            <w:shd w:val="clear" w:color="auto" w:fill="auto"/>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auto" w:fill="auto"/>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Reviews and evaluations</w:t>
            </w:r>
          </w:p>
        </w:tc>
        <w:tc>
          <w:tcPr>
            <w:tcW w:w="1400" w:type="dxa"/>
            <w:tcBorders>
              <w:top w:val="nil"/>
              <w:left w:val="nil"/>
              <w:bottom w:val="single" w:sz="8" w:space="0" w:color="auto"/>
              <w:right w:val="single" w:sz="8" w:space="0" w:color="auto"/>
            </w:tcBorders>
            <w:shd w:val="clear" w:color="auto" w:fill="auto"/>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15"/>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p>
        </w:tc>
        <w:tc>
          <w:tcPr>
            <w:tcW w:w="4240" w:type="dxa"/>
            <w:tcBorders>
              <w:top w:val="nil"/>
              <w:left w:val="nil"/>
              <w:bottom w:val="single" w:sz="8" w:space="0" w:color="auto"/>
              <w:right w:val="single" w:sz="8" w:space="0" w:color="auto"/>
            </w:tcBorders>
            <w:shd w:val="clear" w:color="auto" w:fill="auto"/>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Results *</w:t>
            </w:r>
          </w:p>
        </w:tc>
        <w:tc>
          <w:tcPr>
            <w:tcW w:w="1400" w:type="dxa"/>
            <w:tcBorders>
              <w:top w:val="nil"/>
              <w:left w:val="nil"/>
              <w:bottom w:val="single" w:sz="8" w:space="0" w:color="auto"/>
              <w:right w:val="single" w:sz="8" w:space="0" w:color="auto"/>
            </w:tcBorders>
            <w:shd w:val="clear" w:color="auto" w:fill="auto"/>
            <w:vAlign w:val="center"/>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5</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color w:val="000000"/>
                <w:sz w:val="18"/>
                <w:szCs w:val="18"/>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9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4B5799" w:rsidRPr="007E41D1" w:rsidRDefault="004B5799" w:rsidP="004B5799">
            <w:pPr>
              <w:spacing w:after="0" w:line="240" w:lineRule="auto"/>
              <w:rPr>
                <w:rFonts w:ascii="Montserrat" w:eastAsia="Times New Roman" w:hAnsi="Montserrat" w:cs="Calibri"/>
                <w:color w:val="000000"/>
                <w:sz w:val="18"/>
                <w:szCs w:val="18"/>
                <w:lang w:val="en-GB"/>
              </w:rPr>
            </w:pPr>
            <w:r w:rsidRPr="007E41D1">
              <w:rPr>
                <w:rFonts w:ascii="Montserrat" w:eastAsia="Times New Roman" w:hAnsi="Montserrat" w:cs="Calibri"/>
                <w:color w:val="000000"/>
                <w:sz w:val="18"/>
                <w:szCs w:val="18"/>
                <w:lang w:val="en-GB"/>
              </w:rPr>
              <w:t> </w:t>
            </w:r>
          </w:p>
        </w:tc>
        <w:tc>
          <w:tcPr>
            <w:tcW w:w="4240" w:type="dxa"/>
            <w:tcBorders>
              <w:top w:val="nil"/>
              <w:left w:val="nil"/>
              <w:bottom w:val="single" w:sz="8" w:space="0" w:color="auto"/>
              <w:right w:val="single" w:sz="8" w:space="0" w:color="auto"/>
            </w:tcBorders>
            <w:shd w:val="clear" w:color="auto" w:fill="auto"/>
            <w:vAlign w:val="center"/>
            <w:hideMark/>
          </w:tcPr>
          <w:p w:rsidR="004B5799" w:rsidRPr="007E41D1" w:rsidRDefault="004B5799" w:rsidP="004B5799">
            <w:pPr>
              <w:spacing w:after="0" w:line="240" w:lineRule="auto"/>
              <w:rPr>
                <w:rFonts w:ascii="Montserrat" w:eastAsia="Times New Roman" w:hAnsi="Montserrat" w:cs="Calibri"/>
                <w:b/>
                <w:bCs/>
                <w:color w:val="000000"/>
                <w:sz w:val="18"/>
                <w:szCs w:val="18"/>
                <w:lang w:val="en-GB"/>
              </w:rPr>
            </w:pPr>
            <w:r w:rsidRPr="007E41D1">
              <w:rPr>
                <w:rFonts w:ascii="Montserrat" w:eastAsia="Times New Roman" w:hAnsi="Montserrat" w:cs="Calibri"/>
                <w:b/>
                <w:bCs/>
                <w:color w:val="000000"/>
                <w:sz w:val="18"/>
                <w:szCs w:val="18"/>
                <w:lang w:val="en-GB"/>
              </w:rPr>
              <w:t>TOTAL</w:t>
            </w:r>
          </w:p>
        </w:tc>
        <w:tc>
          <w:tcPr>
            <w:tcW w:w="1400" w:type="dxa"/>
            <w:tcBorders>
              <w:top w:val="nil"/>
              <w:left w:val="nil"/>
              <w:bottom w:val="single" w:sz="8" w:space="0" w:color="auto"/>
              <w:right w:val="single" w:sz="8" w:space="0" w:color="auto"/>
            </w:tcBorders>
            <w:shd w:val="clear" w:color="auto" w:fill="auto"/>
            <w:vAlign w:val="center"/>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20.0</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r w:rsidR="004B5799" w:rsidRPr="007E41D1" w:rsidTr="004B5799">
        <w:trPr>
          <w:trHeight w:val="375"/>
        </w:trPr>
        <w:tc>
          <w:tcPr>
            <w:tcW w:w="322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c>
          <w:tcPr>
            <w:tcW w:w="4240" w:type="dxa"/>
            <w:tcBorders>
              <w:top w:val="nil"/>
              <w:left w:val="nil"/>
              <w:bottom w:val="nil"/>
              <w:right w:val="nil"/>
            </w:tcBorders>
            <w:shd w:val="clear" w:color="auto" w:fill="auto"/>
            <w:vAlign w:val="center"/>
            <w:hideMark/>
          </w:tcPr>
          <w:p w:rsidR="004B5799" w:rsidRPr="007E41D1" w:rsidRDefault="004B5799" w:rsidP="004B5799">
            <w:pPr>
              <w:spacing w:after="0" w:line="240" w:lineRule="auto"/>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OVERALL TOTAL</w:t>
            </w:r>
          </w:p>
        </w:tc>
        <w:tc>
          <w:tcPr>
            <w:tcW w:w="1400" w:type="dxa"/>
            <w:tcBorders>
              <w:top w:val="nil"/>
              <w:left w:val="nil"/>
              <w:bottom w:val="nil"/>
              <w:right w:val="nil"/>
            </w:tcBorders>
            <w:shd w:val="clear" w:color="auto" w:fill="auto"/>
            <w:vAlign w:val="center"/>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r w:rsidRPr="007E41D1">
              <w:rPr>
                <w:rFonts w:ascii="Montserrat" w:eastAsia="Times New Roman" w:hAnsi="Montserrat" w:cs="Calibri"/>
                <w:b/>
                <w:bCs/>
                <w:color w:val="000000"/>
                <w:sz w:val="24"/>
                <w:szCs w:val="24"/>
                <w:lang w:val="en-GB"/>
              </w:rPr>
              <w:t>100.0</w:t>
            </w: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jc w:val="center"/>
              <w:rPr>
                <w:rFonts w:ascii="Montserrat" w:eastAsia="Times New Roman" w:hAnsi="Montserrat" w:cs="Calibri"/>
                <w:b/>
                <w:bCs/>
                <w:color w:val="000000"/>
                <w:sz w:val="24"/>
                <w:szCs w:val="24"/>
                <w:lang w:val="en-GB"/>
              </w:rPr>
            </w:pPr>
          </w:p>
        </w:tc>
        <w:tc>
          <w:tcPr>
            <w:tcW w:w="960" w:type="dxa"/>
            <w:tcBorders>
              <w:top w:val="nil"/>
              <w:left w:val="nil"/>
              <w:bottom w:val="nil"/>
              <w:right w:val="nil"/>
            </w:tcBorders>
            <w:shd w:val="clear" w:color="auto" w:fill="auto"/>
            <w:noWrap/>
            <w:vAlign w:val="bottom"/>
            <w:hideMark/>
          </w:tcPr>
          <w:p w:rsidR="004B5799" w:rsidRPr="007E41D1" w:rsidRDefault="004B5799" w:rsidP="004B5799">
            <w:pPr>
              <w:spacing w:after="0" w:line="240" w:lineRule="auto"/>
              <w:rPr>
                <w:rFonts w:ascii="Times New Roman" w:eastAsia="Times New Roman" w:hAnsi="Times New Roman" w:cs="Times New Roman"/>
                <w:sz w:val="20"/>
                <w:szCs w:val="20"/>
                <w:lang w:val="en-GB"/>
              </w:rPr>
            </w:pPr>
          </w:p>
        </w:tc>
      </w:tr>
    </w:tbl>
    <w:p w:rsidR="007C74FA" w:rsidRPr="007E41D1" w:rsidRDefault="007C74FA" w:rsidP="007C74FA">
      <w:pPr>
        <w:rPr>
          <w:lang w:val="en-GB"/>
        </w:rPr>
      </w:pPr>
    </w:p>
    <w:p w:rsidR="00227EB1" w:rsidRPr="007E41D1" w:rsidRDefault="00227EB1" w:rsidP="004B5799">
      <w:pPr>
        <w:rPr>
          <w:lang w:val="en-GB"/>
        </w:rPr>
      </w:pPr>
      <w:r w:rsidRPr="007E41D1">
        <w:rPr>
          <w:lang w:val="en-GB"/>
        </w:rPr>
        <w:t>The above table is the proposed new weighting structure for the I</w:t>
      </w:r>
      <w:r w:rsidR="008F5EF2" w:rsidRPr="007E41D1">
        <w:rPr>
          <w:lang w:val="en-GB"/>
        </w:rPr>
        <w:t>ndex components and indicators.</w:t>
      </w:r>
      <w:r w:rsidR="009945DD">
        <w:rPr>
          <w:lang w:val="en-GB"/>
        </w:rPr>
        <w:t xml:space="preserve"> </w:t>
      </w:r>
      <w:r w:rsidRPr="007E41D1">
        <w:rPr>
          <w:lang w:val="en-GB"/>
        </w:rPr>
        <w:t>The change</w:t>
      </w:r>
      <w:r w:rsidR="004B5799" w:rsidRPr="007E41D1">
        <w:rPr>
          <w:lang w:val="en-GB"/>
        </w:rPr>
        <w:t>s are highlighted in the table.</w:t>
      </w:r>
    </w:p>
    <w:p w:rsidR="008F5EF2" w:rsidRPr="007E41D1" w:rsidRDefault="008F5EF2" w:rsidP="004B5799">
      <w:pPr>
        <w:rPr>
          <w:lang w:val="en-GB"/>
        </w:rPr>
      </w:pPr>
      <w:r w:rsidRPr="007E41D1">
        <w:rPr>
          <w:lang w:val="en-GB"/>
        </w:rPr>
        <w:t>We conducted an online stakeholder survey that focused on data users, particularly those in the global South, to inform changes in the relative weightings between components and indicators. The results of the survey were largely consistent with our existing scoring approach, and the weightings given by respondents signalling the importance of data in the various components did not deviate significantly with our existing scoring structure.  On this basis, we have maintained the structure broadly as it was for the 2020 Index, only making adjustments to incorporate changes to indicators.</w:t>
      </w:r>
    </w:p>
    <w:p w:rsidR="004B5799" w:rsidRPr="007E41D1" w:rsidRDefault="00BE4CB4" w:rsidP="004B5799">
      <w:pPr>
        <w:rPr>
          <w:lang w:val="en-GB"/>
        </w:rPr>
      </w:pPr>
      <w:r w:rsidRPr="007E41D1">
        <w:rPr>
          <w:lang w:val="en-GB"/>
        </w:rPr>
        <w:t xml:space="preserve">We have included the new </w:t>
      </w:r>
      <w:r w:rsidRPr="007E41D1">
        <w:rPr>
          <w:b/>
          <w:lang w:val="en-GB"/>
        </w:rPr>
        <w:t>Networked data</w:t>
      </w:r>
      <w:r w:rsidRPr="007E41D1">
        <w:rPr>
          <w:lang w:val="en-GB"/>
        </w:rPr>
        <w:t xml:space="preserve"> indicator in the </w:t>
      </w:r>
      <w:r w:rsidR="00E525FA" w:rsidRPr="007E41D1">
        <w:rPr>
          <w:b/>
          <w:lang w:val="en-GB"/>
        </w:rPr>
        <w:t>Joining-</w:t>
      </w:r>
      <w:r w:rsidR="008F5EF2" w:rsidRPr="007E41D1">
        <w:rPr>
          <w:b/>
          <w:lang w:val="en-GB"/>
        </w:rPr>
        <w:t>u</w:t>
      </w:r>
      <w:r w:rsidR="00E525FA" w:rsidRPr="007E41D1">
        <w:rPr>
          <w:b/>
          <w:lang w:val="en-GB"/>
        </w:rPr>
        <w:t xml:space="preserve">p </w:t>
      </w:r>
      <w:r w:rsidR="008F5EF2" w:rsidRPr="007E41D1">
        <w:rPr>
          <w:b/>
          <w:lang w:val="en-GB"/>
        </w:rPr>
        <w:t>d</w:t>
      </w:r>
      <w:r w:rsidR="00E525FA" w:rsidRPr="007E41D1">
        <w:rPr>
          <w:b/>
          <w:lang w:val="en-GB"/>
        </w:rPr>
        <w:t xml:space="preserve">evelopment </w:t>
      </w:r>
      <w:r w:rsidR="008F5EF2" w:rsidRPr="007E41D1">
        <w:rPr>
          <w:b/>
          <w:lang w:val="en-GB"/>
        </w:rPr>
        <w:t>d</w:t>
      </w:r>
      <w:r w:rsidR="00E525FA" w:rsidRPr="007E41D1">
        <w:rPr>
          <w:b/>
          <w:lang w:val="en-GB"/>
        </w:rPr>
        <w:t xml:space="preserve">ata </w:t>
      </w:r>
      <w:r w:rsidR="00E525FA" w:rsidRPr="007E41D1">
        <w:rPr>
          <w:lang w:val="en-GB"/>
        </w:rPr>
        <w:t xml:space="preserve">component. Given its importance and the fact that it is a composite indicator, including what used to be the </w:t>
      </w:r>
      <w:r w:rsidR="00E525FA" w:rsidRPr="007E41D1">
        <w:rPr>
          <w:b/>
          <w:lang w:val="en-GB"/>
        </w:rPr>
        <w:t>Implementer</w:t>
      </w:r>
      <w:r w:rsidR="00E525FA" w:rsidRPr="007E41D1">
        <w:rPr>
          <w:lang w:val="en-GB"/>
        </w:rPr>
        <w:t xml:space="preserve"> indicator, we have assigned </w:t>
      </w:r>
      <w:r w:rsidR="00E525FA" w:rsidRPr="007E41D1">
        <w:rPr>
          <w:b/>
          <w:lang w:val="en-GB"/>
        </w:rPr>
        <w:t>5 points</w:t>
      </w:r>
      <w:r w:rsidR="00E525FA" w:rsidRPr="007E41D1">
        <w:rPr>
          <w:lang w:val="en-GB"/>
        </w:rPr>
        <w:t xml:space="preserve"> to this new i</w:t>
      </w:r>
      <w:bookmarkStart w:id="25" w:name="_GoBack"/>
      <w:bookmarkEnd w:id="25"/>
      <w:r w:rsidR="00E525FA" w:rsidRPr="007E41D1">
        <w:rPr>
          <w:lang w:val="en-GB"/>
        </w:rPr>
        <w:t>ndicator.</w:t>
      </w:r>
    </w:p>
    <w:p w:rsidR="00E525FA" w:rsidRPr="007E41D1" w:rsidRDefault="00E525FA" w:rsidP="004B5799">
      <w:pPr>
        <w:rPr>
          <w:lang w:val="en-GB"/>
        </w:rPr>
      </w:pPr>
      <w:r w:rsidRPr="007E41D1">
        <w:rPr>
          <w:lang w:val="en-GB"/>
        </w:rPr>
        <w:t xml:space="preserve">Since we have taken the </w:t>
      </w:r>
      <w:r w:rsidRPr="007E41D1">
        <w:rPr>
          <w:b/>
          <w:lang w:val="en-GB"/>
        </w:rPr>
        <w:t>Implementer</w:t>
      </w:r>
      <w:r w:rsidRPr="007E41D1">
        <w:rPr>
          <w:lang w:val="en-GB"/>
        </w:rPr>
        <w:t xml:space="preserve"> indicator from the </w:t>
      </w:r>
      <w:r w:rsidRPr="007E41D1">
        <w:rPr>
          <w:b/>
          <w:lang w:val="en-GB"/>
        </w:rPr>
        <w:t xml:space="preserve">Project attributes </w:t>
      </w:r>
      <w:r w:rsidRPr="007E41D1">
        <w:rPr>
          <w:lang w:val="en-GB"/>
        </w:rPr>
        <w:t xml:space="preserve">component to include it as part of the </w:t>
      </w:r>
      <w:r w:rsidRPr="007E41D1">
        <w:rPr>
          <w:b/>
          <w:lang w:val="en-GB"/>
        </w:rPr>
        <w:t>Networked data</w:t>
      </w:r>
      <w:r w:rsidRPr="007E41D1">
        <w:rPr>
          <w:lang w:val="en-GB"/>
        </w:rPr>
        <w:t xml:space="preserve"> indicator, we have moved the </w:t>
      </w:r>
      <w:r w:rsidRPr="007E41D1">
        <w:rPr>
          <w:b/>
          <w:lang w:val="en-GB"/>
        </w:rPr>
        <w:t>Conditions</w:t>
      </w:r>
      <w:r w:rsidRPr="007E41D1">
        <w:rPr>
          <w:lang w:val="en-GB"/>
        </w:rPr>
        <w:t xml:space="preserve"> indicator into the </w:t>
      </w:r>
      <w:r w:rsidRPr="007E41D1">
        <w:rPr>
          <w:b/>
          <w:lang w:val="en-GB"/>
        </w:rPr>
        <w:t>Project attributes</w:t>
      </w:r>
      <w:r w:rsidRPr="007E41D1">
        <w:rPr>
          <w:lang w:val="en-GB"/>
        </w:rPr>
        <w:t xml:space="preserve"> component. This is an appropriate place for the indicator to be included since it deals with specific details about the activity. We have also increased the points available for </w:t>
      </w:r>
      <w:r w:rsidRPr="007E41D1">
        <w:rPr>
          <w:b/>
          <w:lang w:val="en-GB"/>
        </w:rPr>
        <w:t>Conditions</w:t>
      </w:r>
      <w:r w:rsidRPr="007E41D1">
        <w:rPr>
          <w:lang w:val="en-GB"/>
        </w:rPr>
        <w:t xml:space="preserve"> transparency from </w:t>
      </w:r>
      <w:r w:rsidRPr="007E41D1">
        <w:rPr>
          <w:b/>
          <w:lang w:val="en-GB"/>
        </w:rPr>
        <w:t>3.33</w:t>
      </w:r>
      <w:r w:rsidRPr="007E41D1">
        <w:rPr>
          <w:lang w:val="en-GB"/>
        </w:rPr>
        <w:t xml:space="preserve"> to </w:t>
      </w:r>
      <w:r w:rsidRPr="007E41D1">
        <w:rPr>
          <w:b/>
          <w:lang w:val="en-GB"/>
        </w:rPr>
        <w:t>3.5</w:t>
      </w:r>
      <w:r w:rsidRPr="007E41D1">
        <w:rPr>
          <w:lang w:val="en-GB"/>
        </w:rPr>
        <w:t xml:space="preserve">, in line with other indicators in the </w:t>
      </w:r>
      <w:r w:rsidRPr="007E41D1">
        <w:rPr>
          <w:b/>
          <w:lang w:val="en-GB"/>
        </w:rPr>
        <w:t>Project attributes</w:t>
      </w:r>
      <w:r w:rsidRPr="007E41D1">
        <w:rPr>
          <w:lang w:val="en-GB"/>
        </w:rPr>
        <w:t xml:space="preserve"> component.</w:t>
      </w:r>
    </w:p>
    <w:p w:rsidR="00E525FA" w:rsidRPr="007E41D1" w:rsidRDefault="00E525FA" w:rsidP="004B5799">
      <w:pPr>
        <w:rPr>
          <w:lang w:val="en-GB"/>
        </w:rPr>
      </w:pPr>
      <w:r w:rsidRPr="007E41D1">
        <w:rPr>
          <w:lang w:val="en-GB"/>
        </w:rPr>
        <w:t xml:space="preserve">In order to keep the balance of components consistent with the 2020 Index, we have lowered the points for the other indicators in the </w:t>
      </w:r>
      <w:r w:rsidRPr="007E41D1">
        <w:rPr>
          <w:b/>
          <w:lang w:val="en-GB"/>
        </w:rPr>
        <w:t>Joining-</w:t>
      </w:r>
      <w:r w:rsidR="008F5EF2" w:rsidRPr="007E41D1">
        <w:rPr>
          <w:b/>
          <w:lang w:val="en-GB"/>
        </w:rPr>
        <w:t>u</w:t>
      </w:r>
      <w:r w:rsidRPr="007E41D1">
        <w:rPr>
          <w:b/>
          <w:lang w:val="en-GB"/>
        </w:rPr>
        <w:t xml:space="preserve">p </w:t>
      </w:r>
      <w:r w:rsidR="008F5EF2" w:rsidRPr="007E41D1">
        <w:rPr>
          <w:b/>
          <w:lang w:val="en-GB"/>
        </w:rPr>
        <w:t>d</w:t>
      </w:r>
      <w:r w:rsidRPr="007E41D1">
        <w:rPr>
          <w:b/>
          <w:lang w:val="en-GB"/>
        </w:rPr>
        <w:t xml:space="preserve">evelopment </w:t>
      </w:r>
      <w:r w:rsidR="008F5EF2" w:rsidRPr="007E41D1">
        <w:rPr>
          <w:b/>
          <w:lang w:val="en-GB"/>
        </w:rPr>
        <w:t>d</w:t>
      </w:r>
      <w:r w:rsidRPr="007E41D1">
        <w:rPr>
          <w:b/>
          <w:lang w:val="en-GB"/>
        </w:rPr>
        <w:t>ata</w:t>
      </w:r>
      <w:r w:rsidRPr="007E41D1">
        <w:rPr>
          <w:lang w:val="en-GB"/>
        </w:rPr>
        <w:t xml:space="preserve"> component. These were previously </w:t>
      </w:r>
      <w:r w:rsidRPr="007E41D1">
        <w:rPr>
          <w:b/>
          <w:lang w:val="en-GB"/>
        </w:rPr>
        <w:t>3.33</w:t>
      </w:r>
      <w:r w:rsidRPr="007E41D1">
        <w:rPr>
          <w:lang w:val="en-GB"/>
        </w:rPr>
        <w:t xml:space="preserve"> each, and we have lowered them to </w:t>
      </w:r>
      <w:r w:rsidRPr="007E41D1">
        <w:rPr>
          <w:b/>
          <w:lang w:val="en-GB"/>
        </w:rPr>
        <w:t>3 points</w:t>
      </w:r>
      <w:r w:rsidRPr="007E41D1">
        <w:rPr>
          <w:lang w:val="en-GB"/>
        </w:rPr>
        <w:t xml:space="preserve"> each. The total points available in the Joining-Up Development Data component is still </w:t>
      </w:r>
      <w:r w:rsidRPr="007E41D1">
        <w:rPr>
          <w:b/>
          <w:lang w:val="en-GB"/>
        </w:rPr>
        <w:t>20</w:t>
      </w:r>
      <w:r w:rsidRPr="007E41D1">
        <w:rPr>
          <w:lang w:val="en-GB"/>
        </w:rPr>
        <w:t>.</w:t>
      </w:r>
    </w:p>
    <w:p w:rsidR="00564AF4" w:rsidRPr="007E41D1" w:rsidRDefault="00564AF4" w:rsidP="00564AF4">
      <w:pPr>
        <w:spacing w:after="0" w:line="240" w:lineRule="auto"/>
        <w:contextualSpacing/>
        <w:rPr>
          <w:rFonts w:ascii="Montserrat" w:hAnsi="Montserrat"/>
          <w:sz w:val="20"/>
          <w:szCs w:val="20"/>
          <w:lang w:val="en-GB"/>
        </w:rPr>
      </w:pPr>
    </w:p>
    <w:p w:rsidR="00DA0637" w:rsidRPr="007E41D1" w:rsidRDefault="00DA0637">
      <w:pPr>
        <w:rPr>
          <w:lang w:val="en-GB"/>
        </w:rPr>
      </w:pPr>
    </w:p>
    <w:p w:rsidR="00F76639" w:rsidRPr="007E41D1" w:rsidRDefault="00F76639">
      <w:pPr>
        <w:rPr>
          <w:lang w:val="en-GB"/>
        </w:rPr>
      </w:pPr>
    </w:p>
    <w:p w:rsidR="00F76639" w:rsidRPr="007E41D1" w:rsidRDefault="00F76639">
      <w:pPr>
        <w:rPr>
          <w:lang w:val="en-GB"/>
        </w:rPr>
      </w:pPr>
    </w:p>
    <w:p w:rsidR="00F76639" w:rsidRPr="007E41D1" w:rsidRDefault="00F76639">
      <w:pPr>
        <w:rPr>
          <w:lang w:val="en-GB"/>
        </w:rPr>
      </w:pPr>
    </w:p>
    <w:p w:rsidR="00F76639" w:rsidRPr="007E41D1" w:rsidRDefault="00F76639">
      <w:pPr>
        <w:rPr>
          <w:lang w:val="en-GB"/>
        </w:rPr>
      </w:pPr>
      <w:r w:rsidRPr="007E41D1">
        <w:rPr>
          <w:lang w:val="en-GB"/>
        </w:rPr>
        <w:br w:type="page"/>
      </w:r>
    </w:p>
    <w:p w:rsidR="00A343B8" w:rsidRPr="007E41D1" w:rsidRDefault="00A343B8" w:rsidP="00A343B8">
      <w:pPr>
        <w:pStyle w:val="Heading1"/>
        <w:rPr>
          <w:lang w:val="en-GB"/>
        </w:rPr>
      </w:pPr>
      <w:bookmarkStart w:id="26" w:name="_Toc65502300"/>
      <w:bookmarkStart w:id="27" w:name="_Toc65771459"/>
      <w:bookmarkStart w:id="28" w:name="_Toc66108872"/>
      <w:r>
        <w:rPr>
          <w:lang w:val="en-GB"/>
        </w:rPr>
        <w:t xml:space="preserve">Annex: </w:t>
      </w:r>
      <w:r w:rsidRPr="007E41D1">
        <w:rPr>
          <w:lang w:val="en-GB"/>
        </w:rPr>
        <w:t>Proposals not taken forward</w:t>
      </w:r>
      <w:bookmarkEnd w:id="26"/>
      <w:bookmarkEnd w:id="27"/>
      <w:bookmarkEnd w:id="28"/>
    </w:p>
    <w:p w:rsidR="00A343B8" w:rsidRPr="007E41D1" w:rsidRDefault="00A343B8" w:rsidP="00A343B8">
      <w:pPr>
        <w:rPr>
          <w:lang w:val="en-GB"/>
        </w:rPr>
      </w:pPr>
      <w:r>
        <w:rPr>
          <w:lang w:val="en-GB"/>
        </w:rPr>
        <w:t>Several of the proposed changes</w:t>
      </w:r>
      <w:r w:rsidRPr="007E41D1">
        <w:rPr>
          <w:lang w:val="en-GB"/>
        </w:rPr>
        <w:t xml:space="preserve"> </w:t>
      </w:r>
      <w:r>
        <w:rPr>
          <w:lang w:val="en-GB"/>
        </w:rPr>
        <w:t xml:space="preserve">we </w:t>
      </w:r>
      <w:r w:rsidRPr="007E41D1">
        <w:rPr>
          <w:lang w:val="en-GB"/>
        </w:rPr>
        <w:t xml:space="preserve">had </w:t>
      </w:r>
      <w:r>
        <w:rPr>
          <w:lang w:val="en-GB"/>
        </w:rPr>
        <w:t>initially developed internally, based on the Publish What You Fund team’s experience of running the Aid Transparency Index and the kind of feedback we receive from stakeholders,</w:t>
      </w:r>
      <w:r w:rsidRPr="007E41D1">
        <w:rPr>
          <w:lang w:val="en-GB"/>
        </w:rPr>
        <w:t xml:space="preserve"> did not make it into this proposal. These include:</w:t>
      </w:r>
    </w:p>
    <w:p w:rsidR="00A343B8" w:rsidRPr="007E41D1" w:rsidRDefault="00A343B8" w:rsidP="00A343B8">
      <w:pPr>
        <w:rPr>
          <w:b/>
          <w:u w:val="single"/>
          <w:lang w:val="en-GB"/>
        </w:rPr>
      </w:pPr>
      <w:r w:rsidRPr="007E41D1">
        <w:rPr>
          <w:b/>
          <w:u w:val="single"/>
          <w:lang w:val="en-GB"/>
        </w:rPr>
        <w:t xml:space="preserve">Update of Accessibility Indicator: </w:t>
      </w:r>
    </w:p>
    <w:p w:rsidR="00A343B8" w:rsidRPr="007E41D1" w:rsidRDefault="00A343B8" w:rsidP="00A343B8">
      <w:pPr>
        <w:rPr>
          <w:lang w:val="en-GB"/>
        </w:rPr>
      </w:pPr>
      <w:r w:rsidRPr="007E41D1">
        <w:rPr>
          <w:lang w:val="en-GB"/>
        </w:rPr>
        <w:t>We had considered changing the accessibility indicator</w:t>
      </w:r>
      <w:r w:rsidR="009945DD">
        <w:rPr>
          <w:lang w:val="en-GB"/>
        </w:rPr>
        <w:t xml:space="preserve"> so that it would test whether an organisation</w:t>
      </w:r>
      <w:r w:rsidRPr="007E41D1">
        <w:rPr>
          <w:lang w:val="en-GB"/>
        </w:rPr>
        <w:t>’s aid data portal is underpinned by IATI data.</w:t>
      </w:r>
      <w:r>
        <w:rPr>
          <w:lang w:val="en-GB"/>
        </w:rPr>
        <w:t xml:space="preserve"> T</w:t>
      </w:r>
      <w:r w:rsidRPr="00A343B8">
        <w:rPr>
          <w:lang w:val="en-GB"/>
        </w:rPr>
        <w:t xml:space="preserve">he aim of this was to </w:t>
      </w:r>
      <w:r>
        <w:rPr>
          <w:lang w:val="en-GB"/>
        </w:rPr>
        <w:t xml:space="preserve">improve accessibility of IATI data and to further </w:t>
      </w:r>
      <w:r w:rsidRPr="00A343B8">
        <w:rPr>
          <w:lang w:val="en-GB"/>
        </w:rPr>
        <w:t xml:space="preserve">encourage use and publication of IATI data amongst reviewed agencies. </w:t>
      </w:r>
      <w:r w:rsidRPr="007E41D1">
        <w:rPr>
          <w:lang w:val="en-GB"/>
        </w:rPr>
        <w:t xml:space="preserve"> Feedback on this proposal from our consultation meetings raised questions about the feasibility and desirability of adding such criteria. The principle objection was the preference for IATI data to be accessed through one central portal rather than a set of portals managed by different </w:t>
      </w:r>
      <w:r w:rsidR="009945DD">
        <w:rPr>
          <w:lang w:val="en-GB"/>
        </w:rPr>
        <w:t>organisation</w:t>
      </w:r>
      <w:r w:rsidRPr="007E41D1">
        <w:rPr>
          <w:lang w:val="en-GB"/>
        </w:rPr>
        <w:t>s. While we had included in our design the option of a using a central portal, the proposed changes would have also created incentives for the creation of multiple, decentralised portals which would not necessarily lead to the improved data access outcome we were aiming for.</w:t>
      </w:r>
    </w:p>
    <w:p w:rsidR="00A343B8" w:rsidRPr="007E41D1" w:rsidRDefault="00A343B8" w:rsidP="00A343B8">
      <w:pPr>
        <w:rPr>
          <w:b/>
          <w:u w:val="single"/>
          <w:lang w:val="en-GB"/>
        </w:rPr>
      </w:pPr>
      <w:r w:rsidRPr="007E41D1">
        <w:rPr>
          <w:b/>
          <w:u w:val="single"/>
          <w:lang w:val="en-GB"/>
        </w:rPr>
        <w:t xml:space="preserve">Engagement Indicator: </w:t>
      </w:r>
    </w:p>
    <w:p w:rsidR="00A343B8" w:rsidRPr="007E41D1" w:rsidRDefault="00A343B8" w:rsidP="00A343B8">
      <w:pPr>
        <w:rPr>
          <w:lang w:val="en-GB"/>
        </w:rPr>
      </w:pPr>
      <w:r>
        <w:rPr>
          <w:lang w:val="en-GB"/>
        </w:rPr>
        <w:t xml:space="preserve">Our </w:t>
      </w:r>
      <w:hyperlink r:id="rId17" w:history="1">
        <w:r w:rsidRPr="00F27769">
          <w:rPr>
            <w:rStyle w:val="Hyperlink"/>
            <w:lang w:val="en-GB"/>
          </w:rPr>
          <w:t>research and experience</w:t>
        </w:r>
      </w:hyperlink>
      <w:r>
        <w:rPr>
          <w:lang w:val="en-GB"/>
        </w:rPr>
        <w:t xml:space="preserve"> has highlighted the importance of using aid data to engage with stakeholders</w:t>
      </w:r>
      <w:r w:rsidR="00F27769">
        <w:rPr>
          <w:lang w:val="en-GB"/>
        </w:rPr>
        <w:t>.</w:t>
      </w:r>
      <w:r>
        <w:rPr>
          <w:lang w:val="en-GB"/>
        </w:rPr>
        <w:t xml:space="preserve"> </w:t>
      </w:r>
      <w:r w:rsidR="00F27769">
        <w:rPr>
          <w:lang w:val="en-GB"/>
        </w:rPr>
        <w:t>Engagement is an</w:t>
      </w:r>
      <w:r>
        <w:rPr>
          <w:lang w:val="en-GB"/>
        </w:rPr>
        <w:t xml:space="preserve"> important way to build trust between actors, and to catalyse the use, usefulness and quality of </w:t>
      </w:r>
      <w:r w:rsidR="00F27769">
        <w:rPr>
          <w:lang w:val="en-GB"/>
        </w:rPr>
        <w:t>aid transparency</w:t>
      </w:r>
      <w:r>
        <w:rPr>
          <w:lang w:val="en-GB"/>
        </w:rPr>
        <w:t xml:space="preserve"> data. </w:t>
      </w:r>
      <w:r w:rsidR="00F27769">
        <w:rPr>
          <w:lang w:val="en-GB"/>
        </w:rPr>
        <w:t>Responding to these findings</w:t>
      </w:r>
      <w:r>
        <w:rPr>
          <w:lang w:val="en-GB"/>
        </w:rPr>
        <w:t xml:space="preserve"> we developed proposals to measure </w:t>
      </w:r>
      <w:r w:rsidR="00F27769">
        <w:rPr>
          <w:lang w:val="en-GB"/>
        </w:rPr>
        <w:t>publisher engagement in partner countries</w:t>
      </w:r>
      <w:r>
        <w:rPr>
          <w:lang w:val="en-GB"/>
        </w:rPr>
        <w:t xml:space="preserve">. Developing these proposals was challenging as we needed to find quantifiable ways to measure actions and activities carried out by </w:t>
      </w:r>
      <w:r w:rsidR="00F27769">
        <w:rPr>
          <w:lang w:val="en-GB"/>
        </w:rPr>
        <w:t>organisations</w:t>
      </w:r>
      <w:r>
        <w:rPr>
          <w:lang w:val="en-GB"/>
        </w:rPr>
        <w:t xml:space="preserve">. We settled on proposals to assess engagement policies or links to transparency data in </w:t>
      </w:r>
      <w:r w:rsidR="009945DD">
        <w:rPr>
          <w:lang w:val="en-GB"/>
        </w:rPr>
        <w:t>organisation</w:t>
      </w:r>
      <w:r>
        <w:rPr>
          <w:lang w:val="en-GB"/>
        </w:rPr>
        <w:t xml:space="preserve"> communications such as press releases, newsletters and updates. Following our consultations and testing of the proposed approach we concluded that the indicator would deviate from the general assessment method of the Index, and given the complexities and heterogeneity of external communications, it would not be possible to develop a standard approach at this time. </w:t>
      </w:r>
    </w:p>
    <w:p w:rsidR="00A343B8" w:rsidRPr="007E41D1" w:rsidRDefault="00A343B8" w:rsidP="00A343B8">
      <w:pPr>
        <w:rPr>
          <w:b/>
          <w:u w:val="single"/>
          <w:lang w:val="en-GB"/>
        </w:rPr>
      </w:pPr>
      <w:r w:rsidRPr="007E41D1">
        <w:rPr>
          <w:b/>
          <w:u w:val="single"/>
          <w:lang w:val="en-GB"/>
        </w:rPr>
        <w:t>Gender/policy marker indicators:</w:t>
      </w:r>
    </w:p>
    <w:p w:rsidR="00A343B8" w:rsidRPr="007E41D1" w:rsidRDefault="00A343B8" w:rsidP="00A343B8">
      <w:pPr>
        <w:rPr>
          <w:lang w:val="en-GB"/>
        </w:rPr>
      </w:pPr>
      <w:r>
        <w:rPr>
          <w:lang w:val="en-GB"/>
        </w:rPr>
        <w:t>We proposed introducing an indicator to test use of the gender policy marker</w:t>
      </w:r>
      <w:r w:rsidR="00F27769">
        <w:rPr>
          <w:lang w:val="en-GB"/>
        </w:rPr>
        <w:t xml:space="preserve">, since </w:t>
      </w:r>
      <w:r w:rsidR="00F27769" w:rsidRPr="00F27769">
        <w:rPr>
          <w:lang w:val="en-GB"/>
        </w:rPr>
        <w:t xml:space="preserve">the use of such markers can aid </w:t>
      </w:r>
      <w:r w:rsidR="00F27769">
        <w:rPr>
          <w:lang w:val="en-GB"/>
        </w:rPr>
        <w:t xml:space="preserve">data </w:t>
      </w:r>
      <w:r w:rsidR="00F27769" w:rsidRPr="00F27769">
        <w:rPr>
          <w:lang w:val="en-GB"/>
        </w:rPr>
        <w:t xml:space="preserve">users in identifying funding streams relating to </w:t>
      </w:r>
      <w:r w:rsidR="00F27769">
        <w:rPr>
          <w:lang w:val="en-GB"/>
        </w:rPr>
        <w:t>particular</w:t>
      </w:r>
      <w:r w:rsidR="00F27769" w:rsidRPr="00F27769">
        <w:rPr>
          <w:lang w:val="en-GB"/>
        </w:rPr>
        <w:t xml:space="preserve"> issues</w:t>
      </w:r>
      <w:r>
        <w:rPr>
          <w:lang w:val="en-GB"/>
        </w:rPr>
        <w:t>. There were several issues with the proposal which led us to decide not to implement it at this time.  There are several policy markers including markers for disability, climate change, a</w:t>
      </w:r>
      <w:r w:rsidRPr="00004FE3">
        <w:rPr>
          <w:lang w:val="en-GB"/>
        </w:rPr>
        <w:t xml:space="preserve">id to </w:t>
      </w:r>
      <w:r>
        <w:rPr>
          <w:lang w:val="en-GB"/>
        </w:rPr>
        <w:t>e</w:t>
      </w:r>
      <w:r w:rsidRPr="00004FE3">
        <w:rPr>
          <w:lang w:val="en-GB"/>
        </w:rPr>
        <w:t>nvironment</w:t>
      </w:r>
      <w:r>
        <w:rPr>
          <w:lang w:val="en-GB"/>
        </w:rPr>
        <w:t xml:space="preserve"> and p</w:t>
      </w:r>
      <w:r w:rsidRPr="00004FE3">
        <w:rPr>
          <w:lang w:val="en-GB"/>
        </w:rPr>
        <w:t xml:space="preserve">articipatory </w:t>
      </w:r>
      <w:r>
        <w:rPr>
          <w:lang w:val="en-GB"/>
        </w:rPr>
        <w:t>d</w:t>
      </w:r>
      <w:r w:rsidRPr="00004FE3">
        <w:rPr>
          <w:lang w:val="en-GB"/>
        </w:rPr>
        <w:t>evelopment/</w:t>
      </w:r>
      <w:r>
        <w:rPr>
          <w:lang w:val="en-GB"/>
        </w:rPr>
        <w:t>g</w:t>
      </w:r>
      <w:r w:rsidRPr="00004FE3">
        <w:rPr>
          <w:lang w:val="en-GB"/>
        </w:rPr>
        <w:t xml:space="preserve">ood </w:t>
      </w:r>
      <w:r>
        <w:rPr>
          <w:lang w:val="en-GB"/>
        </w:rPr>
        <w:t>g</w:t>
      </w:r>
      <w:r w:rsidRPr="00004FE3">
        <w:rPr>
          <w:lang w:val="en-GB"/>
        </w:rPr>
        <w:t>overnance</w:t>
      </w:r>
      <w:r>
        <w:rPr>
          <w:lang w:val="en-GB"/>
        </w:rPr>
        <w:t xml:space="preserve"> as well as gender. We did not feel we were able to include one of these and not others without a justification for this. Our research into gender financing has also shown that the way the gender marker is used is not currently consistent across </w:t>
      </w:r>
      <w:r w:rsidR="009945DD">
        <w:rPr>
          <w:lang w:val="en-GB"/>
        </w:rPr>
        <w:t>publisher</w:t>
      </w:r>
      <w:r>
        <w:rPr>
          <w:lang w:val="en-GB"/>
        </w:rPr>
        <w:t>s, and carrying out quality control for their correct use would be prohibitively labour intensive.</w:t>
      </w:r>
    </w:p>
    <w:p w:rsidR="00A343B8" w:rsidRPr="007E41D1" w:rsidRDefault="00A343B8" w:rsidP="00A343B8">
      <w:pPr>
        <w:rPr>
          <w:b/>
          <w:u w:val="single"/>
          <w:lang w:val="en-GB"/>
        </w:rPr>
      </w:pPr>
      <w:r w:rsidRPr="007E41D1">
        <w:rPr>
          <w:b/>
          <w:u w:val="single"/>
          <w:lang w:val="en-GB"/>
        </w:rPr>
        <w:t>Other traceability indicators:</w:t>
      </w:r>
    </w:p>
    <w:p w:rsidR="00A343B8" w:rsidRPr="00AE7FF5" w:rsidRDefault="00A343B8" w:rsidP="00A343B8">
      <w:pPr>
        <w:rPr>
          <w:lang w:val="en-GB"/>
        </w:rPr>
      </w:pPr>
      <w:r>
        <w:rPr>
          <w:lang w:val="en-GB"/>
        </w:rPr>
        <w:t xml:space="preserve">An additional proposal for the </w:t>
      </w:r>
      <w:r>
        <w:rPr>
          <w:b/>
          <w:lang w:val="en-GB"/>
        </w:rPr>
        <w:t>Networked data</w:t>
      </w:r>
      <w:r>
        <w:rPr>
          <w:lang w:val="en-GB"/>
        </w:rPr>
        <w:t xml:space="preserve"> indicator was to measure use of upstream and/or downstream transaction linking between activities, either from </w:t>
      </w:r>
      <w:r w:rsidR="009945DD">
        <w:rPr>
          <w:lang w:val="en-GB"/>
        </w:rPr>
        <w:t>funder</w:t>
      </w:r>
      <w:r>
        <w:rPr>
          <w:lang w:val="en-GB"/>
        </w:rPr>
        <w:t xml:space="preserve">s to implementers or from multilaterals to contributors. We found that uptake of transaction linking is too low among IATI publishers to include such an indicator at this time. </w:t>
      </w:r>
      <w:r w:rsidR="00F27769">
        <w:rPr>
          <w:lang w:val="en-GB"/>
        </w:rPr>
        <w:t>Reasons for the low uptake include the complexity of the current process for linking activities, a lack of standardised technical guidance and a lack of consensus in the IATI community about the exact way linking should be done.</w:t>
      </w:r>
      <w:r w:rsidR="00F27769" w:rsidRPr="00F27769">
        <w:t xml:space="preserve"> </w:t>
      </w:r>
      <w:r w:rsidR="00F27769">
        <w:rPr>
          <w:lang w:val="en-GB"/>
        </w:rPr>
        <w:t>T</w:t>
      </w:r>
      <w:r w:rsidR="00F27769" w:rsidRPr="00F27769">
        <w:rPr>
          <w:lang w:val="en-GB"/>
        </w:rPr>
        <w:t>his has implications for whether the</w:t>
      </w:r>
      <w:r w:rsidR="00F27769">
        <w:rPr>
          <w:lang w:val="en-GB"/>
        </w:rPr>
        <w:t xml:space="preserve"> </w:t>
      </w:r>
      <w:r w:rsidR="00F27769" w:rsidRPr="00F27769">
        <w:rPr>
          <w:lang w:val="en-GB"/>
        </w:rPr>
        <w:t>IATI community’s goals of traceability are current</w:t>
      </w:r>
      <w:r w:rsidR="00F27769">
        <w:rPr>
          <w:lang w:val="en-GB"/>
        </w:rPr>
        <w:t>ly</w:t>
      </w:r>
      <w:r w:rsidR="00F27769" w:rsidRPr="00F27769">
        <w:rPr>
          <w:lang w:val="en-GB"/>
        </w:rPr>
        <w:t xml:space="preserve"> feasible</w:t>
      </w:r>
      <w:r w:rsidR="00F27769">
        <w:rPr>
          <w:lang w:val="en-GB"/>
        </w:rPr>
        <w:t>.</w:t>
      </w:r>
    </w:p>
    <w:p w:rsidR="00A343B8" w:rsidRDefault="00A343B8" w:rsidP="00A343B8">
      <w:pPr>
        <w:rPr>
          <w:b/>
          <w:u w:val="single"/>
          <w:lang w:val="en-GB"/>
        </w:rPr>
      </w:pPr>
      <w:r w:rsidRPr="00427DBD">
        <w:rPr>
          <w:b/>
          <w:u w:val="single"/>
          <w:lang w:val="en-GB"/>
        </w:rPr>
        <w:t>Contact details:</w:t>
      </w:r>
    </w:p>
    <w:p w:rsidR="00A343B8" w:rsidRPr="00427DBD" w:rsidRDefault="00A343B8" w:rsidP="00A343B8">
      <w:pPr>
        <w:rPr>
          <w:lang w:val="en-GB"/>
        </w:rPr>
      </w:pPr>
      <w:r>
        <w:rPr>
          <w:lang w:val="en-GB"/>
        </w:rPr>
        <w:t xml:space="preserve">We looked at adding additional criteria to the </w:t>
      </w:r>
      <w:r>
        <w:rPr>
          <w:b/>
          <w:lang w:val="en-GB"/>
        </w:rPr>
        <w:t>Contact details</w:t>
      </w:r>
      <w:r>
        <w:rPr>
          <w:lang w:val="en-GB"/>
        </w:rPr>
        <w:t xml:space="preserve"> indicator that would award higher scores for project or country specific contact details. However, following feedback from our consultations we were not able to substantiate the hypothesis that more specific details would necessarily be better for accountability and responsiveness to data users. A highly responsive centralised help desk could be more effective than a set of decentralised contacts, for example. Since we were not able to establish a normative basis for extra criteria, no changes to the </w:t>
      </w:r>
      <w:r w:rsidRPr="0033345B">
        <w:rPr>
          <w:b/>
          <w:lang w:val="en-GB"/>
        </w:rPr>
        <w:t>Contact details</w:t>
      </w:r>
      <w:r>
        <w:rPr>
          <w:lang w:val="en-GB"/>
        </w:rPr>
        <w:t xml:space="preserve"> indicator are currently proposed.</w:t>
      </w:r>
    </w:p>
    <w:p w:rsidR="00A343B8" w:rsidRPr="0022792E" w:rsidRDefault="00A343B8" w:rsidP="00A343B8">
      <w:pPr>
        <w:rPr>
          <w:lang w:val="en-GB"/>
        </w:rPr>
      </w:pPr>
    </w:p>
    <w:p w:rsidR="00427DBD" w:rsidRPr="00427DBD" w:rsidRDefault="00427DBD" w:rsidP="00A343B8">
      <w:pPr>
        <w:pStyle w:val="Heading1"/>
        <w:rPr>
          <w:lang w:val="en-GB"/>
        </w:rPr>
      </w:pPr>
    </w:p>
    <w:sectPr w:rsidR="00427DBD" w:rsidRPr="00427D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tserrat">
    <w:altName w:val="Calibri"/>
    <w:panose1 w:val="00000000000000000000"/>
    <w:charset w:val="00"/>
    <w:family w:val="modern"/>
    <w:notTrueType/>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http://sphweb.bumc.bu.edu/otlt/MPH-Modules/BS/BS704_Power/ada-reference.gif" style="width:.6pt;height:.6pt;visibility:visible;mso-wrap-style:square" o:bullet="t">
        <v:imagedata r:id="rId1" o:title="ada-reference"/>
      </v:shape>
    </w:pict>
  </w:numPicBullet>
  <w:abstractNum w:abstractNumId="0" w15:restartNumberingAfterBreak="0">
    <w:nsid w:val="00044D4E"/>
    <w:multiLevelType w:val="hybridMultilevel"/>
    <w:tmpl w:val="BD5628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8A7F96"/>
    <w:multiLevelType w:val="hybridMultilevel"/>
    <w:tmpl w:val="0434A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F57E5D"/>
    <w:multiLevelType w:val="multilevel"/>
    <w:tmpl w:val="2B001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2C23E2E"/>
    <w:multiLevelType w:val="hybridMultilevel"/>
    <w:tmpl w:val="35C4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35B41"/>
    <w:multiLevelType w:val="hybridMultilevel"/>
    <w:tmpl w:val="DEC4C222"/>
    <w:lvl w:ilvl="0" w:tplc="08090001">
      <w:start w:val="1"/>
      <w:numFmt w:val="bullet"/>
      <w:lvlText w:val=""/>
      <w:lvlJc w:val="left"/>
      <w:pPr>
        <w:ind w:left="720" w:hanging="360"/>
      </w:pPr>
      <w:rPr>
        <w:rFonts w:ascii="Symbol" w:hAnsi="Symbol" w:hint="default"/>
      </w:rPr>
    </w:lvl>
    <w:lvl w:ilvl="1" w:tplc="2D020BB2">
      <w:start w:val="3"/>
      <w:numFmt w:val="bullet"/>
      <w:lvlText w:val="•"/>
      <w:lvlJc w:val="left"/>
      <w:pPr>
        <w:ind w:left="2100" w:hanging="1020"/>
      </w:pPr>
      <w:rPr>
        <w:rFonts w:asciiTheme="minorHAnsi" w:eastAsia="Calibri" w:hAnsiTheme="minorHAns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33CD1"/>
    <w:multiLevelType w:val="hybridMultilevel"/>
    <w:tmpl w:val="CE2629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BF2197A"/>
    <w:multiLevelType w:val="multilevel"/>
    <w:tmpl w:val="42949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9CB64A7"/>
    <w:multiLevelType w:val="hybridMultilevel"/>
    <w:tmpl w:val="727A3BE8"/>
    <w:lvl w:ilvl="0" w:tplc="88826A02">
      <w:start w:val="1"/>
      <w:numFmt w:val="bullet"/>
      <w:lvlText w:val=""/>
      <w:lvlPicBulletId w:val="0"/>
      <w:lvlJc w:val="left"/>
      <w:pPr>
        <w:tabs>
          <w:tab w:val="num" w:pos="3240"/>
        </w:tabs>
        <w:ind w:left="3240" w:hanging="360"/>
      </w:pPr>
      <w:rPr>
        <w:rFonts w:ascii="Symbol" w:hAnsi="Symbol" w:hint="default"/>
      </w:rPr>
    </w:lvl>
    <w:lvl w:ilvl="1" w:tplc="393065E6" w:tentative="1">
      <w:start w:val="1"/>
      <w:numFmt w:val="bullet"/>
      <w:lvlText w:val=""/>
      <w:lvlJc w:val="left"/>
      <w:pPr>
        <w:tabs>
          <w:tab w:val="num" w:pos="3960"/>
        </w:tabs>
        <w:ind w:left="3960" w:hanging="360"/>
      </w:pPr>
      <w:rPr>
        <w:rFonts w:ascii="Symbol" w:hAnsi="Symbol" w:hint="default"/>
      </w:rPr>
    </w:lvl>
    <w:lvl w:ilvl="2" w:tplc="C59A1A6A" w:tentative="1">
      <w:start w:val="1"/>
      <w:numFmt w:val="bullet"/>
      <w:lvlText w:val=""/>
      <w:lvlJc w:val="left"/>
      <w:pPr>
        <w:tabs>
          <w:tab w:val="num" w:pos="4680"/>
        </w:tabs>
        <w:ind w:left="4680" w:hanging="360"/>
      </w:pPr>
      <w:rPr>
        <w:rFonts w:ascii="Symbol" w:hAnsi="Symbol" w:hint="default"/>
      </w:rPr>
    </w:lvl>
    <w:lvl w:ilvl="3" w:tplc="B0BCCBC4" w:tentative="1">
      <w:start w:val="1"/>
      <w:numFmt w:val="bullet"/>
      <w:lvlText w:val=""/>
      <w:lvlJc w:val="left"/>
      <w:pPr>
        <w:tabs>
          <w:tab w:val="num" w:pos="5400"/>
        </w:tabs>
        <w:ind w:left="5400" w:hanging="360"/>
      </w:pPr>
      <w:rPr>
        <w:rFonts w:ascii="Symbol" w:hAnsi="Symbol" w:hint="default"/>
      </w:rPr>
    </w:lvl>
    <w:lvl w:ilvl="4" w:tplc="C9520C8A" w:tentative="1">
      <w:start w:val="1"/>
      <w:numFmt w:val="bullet"/>
      <w:lvlText w:val=""/>
      <w:lvlJc w:val="left"/>
      <w:pPr>
        <w:tabs>
          <w:tab w:val="num" w:pos="6120"/>
        </w:tabs>
        <w:ind w:left="6120" w:hanging="360"/>
      </w:pPr>
      <w:rPr>
        <w:rFonts w:ascii="Symbol" w:hAnsi="Symbol" w:hint="default"/>
      </w:rPr>
    </w:lvl>
    <w:lvl w:ilvl="5" w:tplc="81B6840A" w:tentative="1">
      <w:start w:val="1"/>
      <w:numFmt w:val="bullet"/>
      <w:lvlText w:val=""/>
      <w:lvlJc w:val="left"/>
      <w:pPr>
        <w:tabs>
          <w:tab w:val="num" w:pos="6840"/>
        </w:tabs>
        <w:ind w:left="6840" w:hanging="360"/>
      </w:pPr>
      <w:rPr>
        <w:rFonts w:ascii="Symbol" w:hAnsi="Symbol" w:hint="default"/>
      </w:rPr>
    </w:lvl>
    <w:lvl w:ilvl="6" w:tplc="FCCCAF6A" w:tentative="1">
      <w:start w:val="1"/>
      <w:numFmt w:val="bullet"/>
      <w:lvlText w:val=""/>
      <w:lvlJc w:val="left"/>
      <w:pPr>
        <w:tabs>
          <w:tab w:val="num" w:pos="7560"/>
        </w:tabs>
        <w:ind w:left="7560" w:hanging="360"/>
      </w:pPr>
      <w:rPr>
        <w:rFonts w:ascii="Symbol" w:hAnsi="Symbol" w:hint="default"/>
      </w:rPr>
    </w:lvl>
    <w:lvl w:ilvl="7" w:tplc="20E6A082" w:tentative="1">
      <w:start w:val="1"/>
      <w:numFmt w:val="bullet"/>
      <w:lvlText w:val=""/>
      <w:lvlJc w:val="left"/>
      <w:pPr>
        <w:tabs>
          <w:tab w:val="num" w:pos="8280"/>
        </w:tabs>
        <w:ind w:left="8280" w:hanging="360"/>
      </w:pPr>
      <w:rPr>
        <w:rFonts w:ascii="Symbol" w:hAnsi="Symbol" w:hint="default"/>
      </w:rPr>
    </w:lvl>
    <w:lvl w:ilvl="8" w:tplc="14F0C0CE" w:tentative="1">
      <w:start w:val="1"/>
      <w:numFmt w:val="bullet"/>
      <w:lvlText w:val=""/>
      <w:lvlJc w:val="left"/>
      <w:pPr>
        <w:tabs>
          <w:tab w:val="num" w:pos="9000"/>
        </w:tabs>
        <w:ind w:left="9000" w:hanging="360"/>
      </w:pPr>
      <w:rPr>
        <w:rFonts w:ascii="Symbol" w:hAnsi="Symbol" w:hint="default"/>
      </w:rPr>
    </w:lvl>
  </w:abstractNum>
  <w:num w:numId="1">
    <w:abstractNumId w:val="7"/>
  </w:num>
  <w:num w:numId="2">
    <w:abstractNumId w:val="2"/>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F5"/>
    <w:rsid w:val="00004FE3"/>
    <w:rsid w:val="0007428D"/>
    <w:rsid w:val="000766B3"/>
    <w:rsid w:val="000913F5"/>
    <w:rsid w:val="000E1D69"/>
    <w:rsid w:val="0017125D"/>
    <w:rsid w:val="00190197"/>
    <w:rsid w:val="001B1331"/>
    <w:rsid w:val="001D6AD5"/>
    <w:rsid w:val="00227EB1"/>
    <w:rsid w:val="00231558"/>
    <w:rsid w:val="002F446D"/>
    <w:rsid w:val="002F7B66"/>
    <w:rsid w:val="0030416E"/>
    <w:rsid w:val="0033345B"/>
    <w:rsid w:val="003367D5"/>
    <w:rsid w:val="00393E16"/>
    <w:rsid w:val="004172A0"/>
    <w:rsid w:val="00427DBD"/>
    <w:rsid w:val="004550AC"/>
    <w:rsid w:val="004818C8"/>
    <w:rsid w:val="00483CB3"/>
    <w:rsid w:val="004A0D0E"/>
    <w:rsid w:val="004A4139"/>
    <w:rsid w:val="004B5799"/>
    <w:rsid w:val="004C2382"/>
    <w:rsid w:val="004E4760"/>
    <w:rsid w:val="00512B55"/>
    <w:rsid w:val="0055455E"/>
    <w:rsid w:val="00560633"/>
    <w:rsid w:val="00564AF4"/>
    <w:rsid w:val="00570198"/>
    <w:rsid w:val="00583F49"/>
    <w:rsid w:val="005942D1"/>
    <w:rsid w:val="00642409"/>
    <w:rsid w:val="006439C5"/>
    <w:rsid w:val="00651B31"/>
    <w:rsid w:val="006E0D5A"/>
    <w:rsid w:val="007315FB"/>
    <w:rsid w:val="00764FA2"/>
    <w:rsid w:val="00767C2B"/>
    <w:rsid w:val="007744C2"/>
    <w:rsid w:val="00777594"/>
    <w:rsid w:val="00792A54"/>
    <w:rsid w:val="007C3C07"/>
    <w:rsid w:val="007C529A"/>
    <w:rsid w:val="007C74FA"/>
    <w:rsid w:val="007E41D1"/>
    <w:rsid w:val="00890B58"/>
    <w:rsid w:val="008D0293"/>
    <w:rsid w:val="008F5EF2"/>
    <w:rsid w:val="00975D32"/>
    <w:rsid w:val="009803CD"/>
    <w:rsid w:val="009945DD"/>
    <w:rsid w:val="009A7A7F"/>
    <w:rsid w:val="009B4FBA"/>
    <w:rsid w:val="00A343B8"/>
    <w:rsid w:val="00A70907"/>
    <w:rsid w:val="00A75D10"/>
    <w:rsid w:val="00AC4032"/>
    <w:rsid w:val="00AC749E"/>
    <w:rsid w:val="00AD3AEE"/>
    <w:rsid w:val="00AD4991"/>
    <w:rsid w:val="00AD7415"/>
    <w:rsid w:val="00AE1D28"/>
    <w:rsid w:val="00AE7FF5"/>
    <w:rsid w:val="00AF1E12"/>
    <w:rsid w:val="00AF4EFD"/>
    <w:rsid w:val="00B0127F"/>
    <w:rsid w:val="00BE3553"/>
    <w:rsid w:val="00BE4CB4"/>
    <w:rsid w:val="00C31939"/>
    <w:rsid w:val="00C938AC"/>
    <w:rsid w:val="00CA5DD3"/>
    <w:rsid w:val="00D23D80"/>
    <w:rsid w:val="00D2446D"/>
    <w:rsid w:val="00D44FB2"/>
    <w:rsid w:val="00D65F9E"/>
    <w:rsid w:val="00D668BB"/>
    <w:rsid w:val="00D935C4"/>
    <w:rsid w:val="00DA0637"/>
    <w:rsid w:val="00DC3FD9"/>
    <w:rsid w:val="00DF3A74"/>
    <w:rsid w:val="00E41E9F"/>
    <w:rsid w:val="00E45A5E"/>
    <w:rsid w:val="00E525FA"/>
    <w:rsid w:val="00E5332B"/>
    <w:rsid w:val="00E75DD8"/>
    <w:rsid w:val="00F175DE"/>
    <w:rsid w:val="00F27769"/>
    <w:rsid w:val="00F64815"/>
    <w:rsid w:val="00F76639"/>
    <w:rsid w:val="00FB684A"/>
    <w:rsid w:val="00FE4FFA"/>
    <w:rsid w:val="00FF307C"/>
    <w:rsid w:val="00FF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A968"/>
  <w15:chartTrackingRefBased/>
  <w15:docId w15:val="{33A1F50F-2973-4026-A2EF-B85C3E9A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AF4"/>
  </w:style>
  <w:style w:type="paragraph" w:styleId="Heading1">
    <w:name w:val="heading 1"/>
    <w:basedOn w:val="Normal"/>
    <w:next w:val="Normal"/>
    <w:link w:val="Heading1Char"/>
    <w:uiPriority w:val="9"/>
    <w:qFormat/>
    <w:rsid w:val="00564A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4A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A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4AF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64AF4"/>
    <w:rPr>
      <w:color w:val="0563C1" w:themeColor="hyperlink"/>
      <w:u w:val="single"/>
    </w:rPr>
  </w:style>
  <w:style w:type="paragraph" w:styleId="NormalWeb">
    <w:name w:val="Normal (Web)"/>
    <w:basedOn w:val="Normal"/>
    <w:uiPriority w:val="99"/>
    <w:unhideWhenUsed/>
    <w:rsid w:val="00564A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4AF4"/>
    <w:pPr>
      <w:spacing w:after="0" w:line="276" w:lineRule="auto"/>
      <w:ind w:left="720"/>
      <w:contextualSpacing/>
    </w:pPr>
    <w:rPr>
      <w:rFonts w:ascii="Arial" w:eastAsia="Arial" w:hAnsi="Arial" w:cs="Arial"/>
      <w:color w:val="000000"/>
      <w:lang w:val="en-GB" w:eastAsia="en-GB"/>
    </w:rPr>
  </w:style>
  <w:style w:type="paragraph" w:styleId="TOCHeading">
    <w:name w:val="TOC Heading"/>
    <w:basedOn w:val="Heading1"/>
    <w:next w:val="Normal"/>
    <w:uiPriority w:val="39"/>
    <w:unhideWhenUsed/>
    <w:qFormat/>
    <w:rsid w:val="00DC3FD9"/>
    <w:pPr>
      <w:outlineLvl w:val="9"/>
    </w:pPr>
  </w:style>
  <w:style w:type="paragraph" w:styleId="TOC1">
    <w:name w:val="toc 1"/>
    <w:basedOn w:val="Normal"/>
    <w:next w:val="Normal"/>
    <w:autoRedefine/>
    <w:uiPriority w:val="39"/>
    <w:unhideWhenUsed/>
    <w:rsid w:val="00DC3FD9"/>
    <w:pPr>
      <w:spacing w:after="100"/>
    </w:pPr>
  </w:style>
  <w:style w:type="paragraph" w:styleId="TOC2">
    <w:name w:val="toc 2"/>
    <w:basedOn w:val="Normal"/>
    <w:next w:val="Normal"/>
    <w:autoRedefine/>
    <w:uiPriority w:val="39"/>
    <w:unhideWhenUsed/>
    <w:rsid w:val="00DC3FD9"/>
    <w:pPr>
      <w:spacing w:after="100"/>
      <w:ind w:left="220"/>
    </w:pPr>
  </w:style>
  <w:style w:type="character" w:styleId="FollowedHyperlink">
    <w:name w:val="FollowedHyperlink"/>
    <w:basedOn w:val="DefaultParagraphFont"/>
    <w:uiPriority w:val="99"/>
    <w:semiHidden/>
    <w:unhideWhenUsed/>
    <w:rsid w:val="00393E16"/>
    <w:rPr>
      <w:color w:val="954F72" w:themeColor="followedHyperlink"/>
      <w:u w:val="single"/>
    </w:rPr>
  </w:style>
  <w:style w:type="paragraph" w:styleId="Title">
    <w:name w:val="Title"/>
    <w:basedOn w:val="Normal"/>
    <w:next w:val="Normal"/>
    <w:link w:val="TitleChar"/>
    <w:uiPriority w:val="10"/>
    <w:qFormat/>
    <w:rsid w:val="008D02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29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C4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32"/>
    <w:rPr>
      <w:rFonts w:ascii="Segoe UI" w:hAnsi="Segoe UI" w:cs="Segoe UI"/>
      <w:sz w:val="18"/>
      <w:szCs w:val="18"/>
    </w:rPr>
  </w:style>
  <w:style w:type="character" w:styleId="CommentReference">
    <w:name w:val="annotation reference"/>
    <w:basedOn w:val="DefaultParagraphFont"/>
    <w:uiPriority w:val="99"/>
    <w:semiHidden/>
    <w:unhideWhenUsed/>
    <w:rsid w:val="00A343B8"/>
    <w:rPr>
      <w:sz w:val="16"/>
      <w:szCs w:val="16"/>
    </w:rPr>
  </w:style>
  <w:style w:type="paragraph" w:styleId="CommentText">
    <w:name w:val="annotation text"/>
    <w:basedOn w:val="Normal"/>
    <w:link w:val="CommentTextChar"/>
    <w:uiPriority w:val="99"/>
    <w:semiHidden/>
    <w:unhideWhenUsed/>
    <w:rsid w:val="00A343B8"/>
    <w:pPr>
      <w:spacing w:line="240" w:lineRule="auto"/>
    </w:pPr>
    <w:rPr>
      <w:sz w:val="20"/>
      <w:szCs w:val="20"/>
    </w:rPr>
  </w:style>
  <w:style w:type="character" w:customStyle="1" w:styleId="CommentTextChar">
    <w:name w:val="Comment Text Char"/>
    <w:basedOn w:val="DefaultParagraphFont"/>
    <w:link w:val="CommentText"/>
    <w:uiPriority w:val="99"/>
    <w:semiHidden/>
    <w:rsid w:val="00A343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559">
      <w:bodyDiv w:val="1"/>
      <w:marLeft w:val="0"/>
      <w:marRight w:val="0"/>
      <w:marTop w:val="0"/>
      <w:marBottom w:val="0"/>
      <w:divBdr>
        <w:top w:val="none" w:sz="0" w:space="0" w:color="auto"/>
        <w:left w:val="none" w:sz="0" w:space="0" w:color="auto"/>
        <w:bottom w:val="none" w:sz="0" w:space="0" w:color="auto"/>
        <w:right w:val="none" w:sz="0" w:space="0" w:color="auto"/>
      </w:divBdr>
    </w:div>
    <w:div w:id="155389024">
      <w:bodyDiv w:val="1"/>
      <w:marLeft w:val="0"/>
      <w:marRight w:val="0"/>
      <w:marTop w:val="0"/>
      <w:marBottom w:val="0"/>
      <w:divBdr>
        <w:top w:val="none" w:sz="0" w:space="0" w:color="auto"/>
        <w:left w:val="none" w:sz="0" w:space="0" w:color="auto"/>
        <w:bottom w:val="none" w:sz="0" w:space="0" w:color="auto"/>
        <w:right w:val="none" w:sz="0" w:space="0" w:color="auto"/>
      </w:divBdr>
      <w:divsChild>
        <w:div w:id="561717580">
          <w:marLeft w:val="0"/>
          <w:marRight w:val="0"/>
          <w:marTop w:val="0"/>
          <w:marBottom w:val="0"/>
          <w:divBdr>
            <w:top w:val="none" w:sz="0" w:space="0" w:color="auto"/>
            <w:left w:val="none" w:sz="0" w:space="0" w:color="auto"/>
            <w:bottom w:val="none" w:sz="0" w:space="0" w:color="auto"/>
            <w:right w:val="none" w:sz="0" w:space="0" w:color="auto"/>
          </w:divBdr>
          <w:divsChild>
            <w:div w:id="1042054240">
              <w:marLeft w:val="0"/>
              <w:marRight w:val="0"/>
              <w:marTop w:val="0"/>
              <w:marBottom w:val="0"/>
              <w:divBdr>
                <w:top w:val="none" w:sz="0" w:space="0" w:color="auto"/>
                <w:left w:val="none" w:sz="0" w:space="0" w:color="auto"/>
                <w:bottom w:val="none" w:sz="0" w:space="0" w:color="auto"/>
                <w:right w:val="none" w:sz="0" w:space="0" w:color="auto"/>
              </w:divBdr>
              <w:divsChild>
                <w:div w:id="663751255">
                  <w:marLeft w:val="0"/>
                  <w:marRight w:val="0"/>
                  <w:marTop w:val="0"/>
                  <w:marBottom w:val="0"/>
                  <w:divBdr>
                    <w:top w:val="none" w:sz="0" w:space="0" w:color="auto"/>
                    <w:left w:val="none" w:sz="0" w:space="0" w:color="auto"/>
                    <w:bottom w:val="none" w:sz="0" w:space="0" w:color="auto"/>
                    <w:right w:val="none" w:sz="0" w:space="0" w:color="auto"/>
                  </w:divBdr>
                  <w:divsChild>
                    <w:div w:id="314262570">
                      <w:marLeft w:val="0"/>
                      <w:marRight w:val="0"/>
                      <w:marTop w:val="0"/>
                      <w:marBottom w:val="0"/>
                      <w:divBdr>
                        <w:top w:val="none" w:sz="0" w:space="0" w:color="auto"/>
                        <w:left w:val="none" w:sz="0" w:space="0" w:color="auto"/>
                        <w:bottom w:val="none" w:sz="0" w:space="0" w:color="auto"/>
                        <w:right w:val="none" w:sz="0" w:space="0" w:color="auto"/>
                      </w:divBdr>
                      <w:divsChild>
                        <w:div w:id="338047827">
                          <w:marLeft w:val="0"/>
                          <w:marRight w:val="0"/>
                          <w:marTop w:val="0"/>
                          <w:marBottom w:val="0"/>
                          <w:divBdr>
                            <w:top w:val="none" w:sz="0" w:space="0" w:color="auto"/>
                            <w:left w:val="none" w:sz="0" w:space="0" w:color="auto"/>
                            <w:bottom w:val="none" w:sz="0" w:space="0" w:color="auto"/>
                            <w:right w:val="none" w:sz="0" w:space="0" w:color="auto"/>
                          </w:divBdr>
                          <w:divsChild>
                            <w:div w:id="145900739">
                              <w:marLeft w:val="-240"/>
                              <w:marRight w:val="-120"/>
                              <w:marTop w:val="0"/>
                              <w:marBottom w:val="0"/>
                              <w:divBdr>
                                <w:top w:val="none" w:sz="0" w:space="0" w:color="auto"/>
                                <w:left w:val="none" w:sz="0" w:space="0" w:color="auto"/>
                                <w:bottom w:val="none" w:sz="0" w:space="0" w:color="auto"/>
                                <w:right w:val="none" w:sz="0" w:space="0" w:color="auto"/>
                              </w:divBdr>
                              <w:divsChild>
                                <w:div w:id="68116760">
                                  <w:marLeft w:val="0"/>
                                  <w:marRight w:val="0"/>
                                  <w:marTop w:val="0"/>
                                  <w:marBottom w:val="60"/>
                                  <w:divBdr>
                                    <w:top w:val="none" w:sz="0" w:space="0" w:color="auto"/>
                                    <w:left w:val="none" w:sz="0" w:space="0" w:color="auto"/>
                                    <w:bottom w:val="none" w:sz="0" w:space="0" w:color="auto"/>
                                    <w:right w:val="none" w:sz="0" w:space="0" w:color="auto"/>
                                  </w:divBdr>
                                  <w:divsChild>
                                    <w:div w:id="1238859732">
                                      <w:marLeft w:val="0"/>
                                      <w:marRight w:val="0"/>
                                      <w:marTop w:val="0"/>
                                      <w:marBottom w:val="0"/>
                                      <w:divBdr>
                                        <w:top w:val="none" w:sz="0" w:space="0" w:color="auto"/>
                                        <w:left w:val="none" w:sz="0" w:space="0" w:color="auto"/>
                                        <w:bottom w:val="none" w:sz="0" w:space="0" w:color="auto"/>
                                        <w:right w:val="none" w:sz="0" w:space="0" w:color="auto"/>
                                      </w:divBdr>
                                      <w:divsChild>
                                        <w:div w:id="1819347363">
                                          <w:marLeft w:val="0"/>
                                          <w:marRight w:val="0"/>
                                          <w:marTop w:val="0"/>
                                          <w:marBottom w:val="0"/>
                                          <w:divBdr>
                                            <w:top w:val="none" w:sz="0" w:space="0" w:color="auto"/>
                                            <w:left w:val="none" w:sz="0" w:space="0" w:color="auto"/>
                                            <w:bottom w:val="none" w:sz="0" w:space="0" w:color="auto"/>
                                            <w:right w:val="none" w:sz="0" w:space="0" w:color="auto"/>
                                          </w:divBdr>
                                          <w:divsChild>
                                            <w:div w:id="1514303519">
                                              <w:marLeft w:val="0"/>
                                              <w:marRight w:val="0"/>
                                              <w:marTop w:val="0"/>
                                              <w:marBottom w:val="0"/>
                                              <w:divBdr>
                                                <w:top w:val="none" w:sz="0" w:space="0" w:color="auto"/>
                                                <w:left w:val="none" w:sz="0" w:space="0" w:color="auto"/>
                                                <w:bottom w:val="none" w:sz="0" w:space="0" w:color="auto"/>
                                                <w:right w:val="none" w:sz="0" w:space="0" w:color="auto"/>
                                              </w:divBdr>
                                              <w:divsChild>
                                                <w:div w:id="1352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08893">
          <w:marLeft w:val="0"/>
          <w:marRight w:val="0"/>
          <w:marTop w:val="0"/>
          <w:marBottom w:val="0"/>
          <w:divBdr>
            <w:top w:val="none" w:sz="0" w:space="0" w:color="auto"/>
            <w:left w:val="none" w:sz="0" w:space="0" w:color="auto"/>
            <w:bottom w:val="none" w:sz="0" w:space="0" w:color="auto"/>
            <w:right w:val="none" w:sz="0" w:space="0" w:color="auto"/>
          </w:divBdr>
          <w:divsChild>
            <w:div w:id="1952784803">
              <w:marLeft w:val="0"/>
              <w:marRight w:val="0"/>
              <w:marTop w:val="0"/>
              <w:marBottom w:val="0"/>
              <w:divBdr>
                <w:top w:val="none" w:sz="0" w:space="0" w:color="auto"/>
                <w:left w:val="none" w:sz="0" w:space="0" w:color="auto"/>
                <w:bottom w:val="none" w:sz="0" w:space="0" w:color="auto"/>
                <w:right w:val="none" w:sz="0" w:space="0" w:color="auto"/>
              </w:divBdr>
              <w:divsChild>
                <w:div w:id="1024986546">
                  <w:marLeft w:val="0"/>
                  <w:marRight w:val="0"/>
                  <w:marTop w:val="0"/>
                  <w:marBottom w:val="0"/>
                  <w:divBdr>
                    <w:top w:val="none" w:sz="0" w:space="0" w:color="auto"/>
                    <w:left w:val="none" w:sz="0" w:space="0" w:color="auto"/>
                    <w:bottom w:val="none" w:sz="0" w:space="0" w:color="auto"/>
                    <w:right w:val="none" w:sz="0" w:space="0" w:color="auto"/>
                  </w:divBdr>
                  <w:divsChild>
                    <w:div w:id="947782060">
                      <w:marLeft w:val="0"/>
                      <w:marRight w:val="0"/>
                      <w:marTop w:val="0"/>
                      <w:marBottom w:val="0"/>
                      <w:divBdr>
                        <w:top w:val="none" w:sz="0" w:space="0" w:color="auto"/>
                        <w:left w:val="none" w:sz="0" w:space="0" w:color="auto"/>
                        <w:bottom w:val="none" w:sz="0" w:space="0" w:color="auto"/>
                        <w:right w:val="none" w:sz="0" w:space="0" w:color="auto"/>
                      </w:divBdr>
                      <w:divsChild>
                        <w:div w:id="1108618611">
                          <w:marLeft w:val="0"/>
                          <w:marRight w:val="0"/>
                          <w:marTop w:val="0"/>
                          <w:marBottom w:val="0"/>
                          <w:divBdr>
                            <w:top w:val="none" w:sz="0" w:space="0" w:color="auto"/>
                            <w:left w:val="none" w:sz="0" w:space="0" w:color="auto"/>
                            <w:bottom w:val="none" w:sz="0" w:space="0" w:color="auto"/>
                            <w:right w:val="none" w:sz="0" w:space="0" w:color="auto"/>
                          </w:divBdr>
                          <w:divsChild>
                            <w:div w:id="338892950">
                              <w:marLeft w:val="0"/>
                              <w:marRight w:val="120"/>
                              <w:marTop w:val="0"/>
                              <w:marBottom w:val="0"/>
                              <w:divBdr>
                                <w:top w:val="none" w:sz="0" w:space="0" w:color="auto"/>
                                <w:left w:val="none" w:sz="0" w:space="0" w:color="auto"/>
                                <w:bottom w:val="none" w:sz="0" w:space="0" w:color="auto"/>
                                <w:right w:val="none" w:sz="0" w:space="0" w:color="auto"/>
                              </w:divBdr>
                              <w:divsChild>
                                <w:div w:id="1940523523">
                                  <w:marLeft w:val="-300"/>
                                  <w:marRight w:val="0"/>
                                  <w:marTop w:val="0"/>
                                  <w:marBottom w:val="0"/>
                                  <w:divBdr>
                                    <w:top w:val="none" w:sz="0" w:space="0" w:color="auto"/>
                                    <w:left w:val="none" w:sz="0" w:space="0" w:color="auto"/>
                                    <w:bottom w:val="none" w:sz="0" w:space="0" w:color="auto"/>
                                    <w:right w:val="none" w:sz="0" w:space="0" w:color="auto"/>
                                  </w:divBdr>
                                </w:div>
                              </w:divsChild>
                            </w:div>
                            <w:div w:id="446044293">
                              <w:marLeft w:val="-240"/>
                              <w:marRight w:val="-120"/>
                              <w:marTop w:val="0"/>
                              <w:marBottom w:val="0"/>
                              <w:divBdr>
                                <w:top w:val="none" w:sz="0" w:space="0" w:color="auto"/>
                                <w:left w:val="none" w:sz="0" w:space="0" w:color="auto"/>
                                <w:bottom w:val="none" w:sz="0" w:space="0" w:color="auto"/>
                                <w:right w:val="none" w:sz="0" w:space="0" w:color="auto"/>
                              </w:divBdr>
                              <w:divsChild>
                                <w:div w:id="265231810">
                                  <w:marLeft w:val="0"/>
                                  <w:marRight w:val="0"/>
                                  <w:marTop w:val="0"/>
                                  <w:marBottom w:val="60"/>
                                  <w:divBdr>
                                    <w:top w:val="none" w:sz="0" w:space="0" w:color="auto"/>
                                    <w:left w:val="none" w:sz="0" w:space="0" w:color="auto"/>
                                    <w:bottom w:val="none" w:sz="0" w:space="0" w:color="auto"/>
                                    <w:right w:val="none" w:sz="0" w:space="0" w:color="auto"/>
                                  </w:divBdr>
                                  <w:divsChild>
                                    <w:div w:id="309096283">
                                      <w:marLeft w:val="0"/>
                                      <w:marRight w:val="0"/>
                                      <w:marTop w:val="0"/>
                                      <w:marBottom w:val="0"/>
                                      <w:divBdr>
                                        <w:top w:val="none" w:sz="0" w:space="0" w:color="auto"/>
                                        <w:left w:val="none" w:sz="0" w:space="0" w:color="auto"/>
                                        <w:bottom w:val="none" w:sz="0" w:space="0" w:color="auto"/>
                                        <w:right w:val="none" w:sz="0" w:space="0" w:color="auto"/>
                                      </w:divBdr>
                                      <w:divsChild>
                                        <w:div w:id="1200045454">
                                          <w:marLeft w:val="0"/>
                                          <w:marRight w:val="0"/>
                                          <w:marTop w:val="0"/>
                                          <w:marBottom w:val="0"/>
                                          <w:divBdr>
                                            <w:top w:val="none" w:sz="0" w:space="0" w:color="auto"/>
                                            <w:left w:val="none" w:sz="0" w:space="0" w:color="auto"/>
                                            <w:bottom w:val="none" w:sz="0" w:space="0" w:color="auto"/>
                                            <w:right w:val="none" w:sz="0" w:space="0" w:color="auto"/>
                                          </w:divBdr>
                                          <w:divsChild>
                                            <w:div w:id="2017028972">
                                              <w:marLeft w:val="0"/>
                                              <w:marRight w:val="0"/>
                                              <w:marTop w:val="0"/>
                                              <w:marBottom w:val="0"/>
                                              <w:divBdr>
                                                <w:top w:val="none" w:sz="0" w:space="0" w:color="auto"/>
                                                <w:left w:val="none" w:sz="0" w:space="0" w:color="auto"/>
                                                <w:bottom w:val="none" w:sz="0" w:space="0" w:color="auto"/>
                                                <w:right w:val="none" w:sz="0" w:space="0" w:color="auto"/>
                                              </w:divBdr>
                                              <w:divsChild>
                                                <w:div w:id="12765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364776">
          <w:marLeft w:val="0"/>
          <w:marRight w:val="0"/>
          <w:marTop w:val="0"/>
          <w:marBottom w:val="0"/>
          <w:divBdr>
            <w:top w:val="none" w:sz="0" w:space="0" w:color="auto"/>
            <w:left w:val="none" w:sz="0" w:space="0" w:color="auto"/>
            <w:bottom w:val="none" w:sz="0" w:space="0" w:color="auto"/>
            <w:right w:val="none" w:sz="0" w:space="0" w:color="auto"/>
          </w:divBdr>
          <w:divsChild>
            <w:div w:id="952439174">
              <w:marLeft w:val="0"/>
              <w:marRight w:val="0"/>
              <w:marTop w:val="0"/>
              <w:marBottom w:val="0"/>
              <w:divBdr>
                <w:top w:val="none" w:sz="0" w:space="0" w:color="auto"/>
                <w:left w:val="none" w:sz="0" w:space="0" w:color="auto"/>
                <w:bottom w:val="none" w:sz="0" w:space="0" w:color="auto"/>
                <w:right w:val="none" w:sz="0" w:space="0" w:color="auto"/>
              </w:divBdr>
              <w:divsChild>
                <w:div w:id="1335642635">
                  <w:marLeft w:val="0"/>
                  <w:marRight w:val="0"/>
                  <w:marTop w:val="0"/>
                  <w:marBottom w:val="0"/>
                  <w:divBdr>
                    <w:top w:val="none" w:sz="0" w:space="0" w:color="auto"/>
                    <w:left w:val="none" w:sz="0" w:space="0" w:color="auto"/>
                    <w:bottom w:val="none" w:sz="0" w:space="0" w:color="auto"/>
                    <w:right w:val="none" w:sz="0" w:space="0" w:color="auto"/>
                  </w:divBdr>
                  <w:divsChild>
                    <w:div w:id="293410683">
                      <w:marLeft w:val="0"/>
                      <w:marRight w:val="0"/>
                      <w:marTop w:val="0"/>
                      <w:marBottom w:val="0"/>
                      <w:divBdr>
                        <w:top w:val="none" w:sz="0" w:space="0" w:color="auto"/>
                        <w:left w:val="none" w:sz="0" w:space="0" w:color="auto"/>
                        <w:bottom w:val="none" w:sz="0" w:space="0" w:color="auto"/>
                        <w:right w:val="none" w:sz="0" w:space="0" w:color="auto"/>
                      </w:divBdr>
                      <w:divsChild>
                        <w:div w:id="200821732">
                          <w:marLeft w:val="0"/>
                          <w:marRight w:val="0"/>
                          <w:marTop w:val="0"/>
                          <w:marBottom w:val="0"/>
                          <w:divBdr>
                            <w:top w:val="none" w:sz="0" w:space="0" w:color="auto"/>
                            <w:left w:val="none" w:sz="0" w:space="0" w:color="auto"/>
                            <w:bottom w:val="none" w:sz="0" w:space="0" w:color="auto"/>
                            <w:right w:val="none" w:sz="0" w:space="0" w:color="auto"/>
                          </w:divBdr>
                          <w:divsChild>
                            <w:div w:id="547300634">
                              <w:marLeft w:val="0"/>
                              <w:marRight w:val="120"/>
                              <w:marTop w:val="0"/>
                              <w:marBottom w:val="0"/>
                              <w:divBdr>
                                <w:top w:val="none" w:sz="0" w:space="0" w:color="auto"/>
                                <w:left w:val="none" w:sz="0" w:space="0" w:color="auto"/>
                                <w:bottom w:val="none" w:sz="0" w:space="0" w:color="auto"/>
                                <w:right w:val="none" w:sz="0" w:space="0" w:color="auto"/>
                              </w:divBdr>
                              <w:divsChild>
                                <w:div w:id="1183518548">
                                  <w:marLeft w:val="-300"/>
                                  <w:marRight w:val="0"/>
                                  <w:marTop w:val="0"/>
                                  <w:marBottom w:val="0"/>
                                  <w:divBdr>
                                    <w:top w:val="none" w:sz="0" w:space="0" w:color="auto"/>
                                    <w:left w:val="none" w:sz="0" w:space="0" w:color="auto"/>
                                    <w:bottom w:val="none" w:sz="0" w:space="0" w:color="auto"/>
                                    <w:right w:val="none" w:sz="0" w:space="0" w:color="auto"/>
                                  </w:divBdr>
                                </w:div>
                              </w:divsChild>
                            </w:div>
                            <w:div w:id="2023700644">
                              <w:marLeft w:val="-240"/>
                              <w:marRight w:val="-120"/>
                              <w:marTop w:val="0"/>
                              <w:marBottom w:val="0"/>
                              <w:divBdr>
                                <w:top w:val="none" w:sz="0" w:space="0" w:color="auto"/>
                                <w:left w:val="none" w:sz="0" w:space="0" w:color="auto"/>
                                <w:bottom w:val="none" w:sz="0" w:space="0" w:color="auto"/>
                                <w:right w:val="none" w:sz="0" w:space="0" w:color="auto"/>
                              </w:divBdr>
                              <w:divsChild>
                                <w:div w:id="2010792407">
                                  <w:marLeft w:val="0"/>
                                  <w:marRight w:val="0"/>
                                  <w:marTop w:val="0"/>
                                  <w:marBottom w:val="60"/>
                                  <w:divBdr>
                                    <w:top w:val="none" w:sz="0" w:space="0" w:color="auto"/>
                                    <w:left w:val="none" w:sz="0" w:space="0" w:color="auto"/>
                                    <w:bottom w:val="none" w:sz="0" w:space="0" w:color="auto"/>
                                    <w:right w:val="none" w:sz="0" w:space="0" w:color="auto"/>
                                  </w:divBdr>
                                  <w:divsChild>
                                    <w:div w:id="2009673464">
                                      <w:marLeft w:val="0"/>
                                      <w:marRight w:val="0"/>
                                      <w:marTop w:val="0"/>
                                      <w:marBottom w:val="0"/>
                                      <w:divBdr>
                                        <w:top w:val="none" w:sz="0" w:space="0" w:color="auto"/>
                                        <w:left w:val="none" w:sz="0" w:space="0" w:color="auto"/>
                                        <w:bottom w:val="none" w:sz="0" w:space="0" w:color="auto"/>
                                        <w:right w:val="none" w:sz="0" w:space="0" w:color="auto"/>
                                      </w:divBdr>
                                      <w:divsChild>
                                        <w:div w:id="753741250">
                                          <w:marLeft w:val="0"/>
                                          <w:marRight w:val="0"/>
                                          <w:marTop w:val="0"/>
                                          <w:marBottom w:val="0"/>
                                          <w:divBdr>
                                            <w:top w:val="none" w:sz="0" w:space="0" w:color="auto"/>
                                            <w:left w:val="none" w:sz="0" w:space="0" w:color="auto"/>
                                            <w:bottom w:val="none" w:sz="0" w:space="0" w:color="auto"/>
                                            <w:right w:val="none" w:sz="0" w:space="0" w:color="auto"/>
                                          </w:divBdr>
                                          <w:divsChild>
                                            <w:div w:id="1252466001">
                                              <w:marLeft w:val="0"/>
                                              <w:marRight w:val="0"/>
                                              <w:marTop w:val="0"/>
                                              <w:marBottom w:val="0"/>
                                              <w:divBdr>
                                                <w:top w:val="none" w:sz="0" w:space="0" w:color="auto"/>
                                                <w:left w:val="none" w:sz="0" w:space="0" w:color="auto"/>
                                                <w:bottom w:val="none" w:sz="0" w:space="0" w:color="auto"/>
                                                <w:right w:val="none" w:sz="0" w:space="0" w:color="auto"/>
                                              </w:divBdr>
                                              <w:divsChild>
                                                <w:div w:id="18174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913397">
          <w:marLeft w:val="0"/>
          <w:marRight w:val="0"/>
          <w:marTop w:val="0"/>
          <w:marBottom w:val="0"/>
          <w:divBdr>
            <w:top w:val="none" w:sz="0" w:space="0" w:color="auto"/>
            <w:left w:val="none" w:sz="0" w:space="0" w:color="auto"/>
            <w:bottom w:val="none" w:sz="0" w:space="0" w:color="auto"/>
            <w:right w:val="none" w:sz="0" w:space="0" w:color="auto"/>
          </w:divBdr>
          <w:divsChild>
            <w:div w:id="339552309">
              <w:marLeft w:val="0"/>
              <w:marRight w:val="0"/>
              <w:marTop w:val="0"/>
              <w:marBottom w:val="0"/>
              <w:divBdr>
                <w:top w:val="none" w:sz="0" w:space="0" w:color="auto"/>
                <w:left w:val="none" w:sz="0" w:space="0" w:color="auto"/>
                <w:bottom w:val="none" w:sz="0" w:space="0" w:color="auto"/>
                <w:right w:val="none" w:sz="0" w:space="0" w:color="auto"/>
              </w:divBdr>
              <w:divsChild>
                <w:div w:id="648365625">
                  <w:marLeft w:val="0"/>
                  <w:marRight w:val="0"/>
                  <w:marTop w:val="0"/>
                  <w:marBottom w:val="0"/>
                  <w:divBdr>
                    <w:top w:val="none" w:sz="0" w:space="0" w:color="auto"/>
                    <w:left w:val="none" w:sz="0" w:space="0" w:color="auto"/>
                    <w:bottom w:val="none" w:sz="0" w:space="0" w:color="auto"/>
                    <w:right w:val="none" w:sz="0" w:space="0" w:color="auto"/>
                  </w:divBdr>
                  <w:divsChild>
                    <w:div w:id="1033503999">
                      <w:marLeft w:val="0"/>
                      <w:marRight w:val="0"/>
                      <w:marTop w:val="0"/>
                      <w:marBottom w:val="0"/>
                      <w:divBdr>
                        <w:top w:val="none" w:sz="0" w:space="0" w:color="auto"/>
                        <w:left w:val="none" w:sz="0" w:space="0" w:color="auto"/>
                        <w:bottom w:val="none" w:sz="0" w:space="0" w:color="auto"/>
                        <w:right w:val="none" w:sz="0" w:space="0" w:color="auto"/>
                      </w:divBdr>
                      <w:divsChild>
                        <w:div w:id="737627286">
                          <w:marLeft w:val="0"/>
                          <w:marRight w:val="0"/>
                          <w:marTop w:val="0"/>
                          <w:marBottom w:val="0"/>
                          <w:divBdr>
                            <w:top w:val="none" w:sz="0" w:space="0" w:color="auto"/>
                            <w:left w:val="none" w:sz="0" w:space="0" w:color="auto"/>
                            <w:bottom w:val="none" w:sz="0" w:space="0" w:color="auto"/>
                            <w:right w:val="none" w:sz="0" w:space="0" w:color="auto"/>
                          </w:divBdr>
                          <w:divsChild>
                            <w:div w:id="24450755">
                              <w:marLeft w:val="0"/>
                              <w:marRight w:val="120"/>
                              <w:marTop w:val="0"/>
                              <w:marBottom w:val="0"/>
                              <w:divBdr>
                                <w:top w:val="none" w:sz="0" w:space="0" w:color="auto"/>
                                <w:left w:val="none" w:sz="0" w:space="0" w:color="auto"/>
                                <w:bottom w:val="none" w:sz="0" w:space="0" w:color="auto"/>
                                <w:right w:val="none" w:sz="0" w:space="0" w:color="auto"/>
                              </w:divBdr>
                              <w:divsChild>
                                <w:div w:id="695080891">
                                  <w:marLeft w:val="-300"/>
                                  <w:marRight w:val="0"/>
                                  <w:marTop w:val="0"/>
                                  <w:marBottom w:val="0"/>
                                  <w:divBdr>
                                    <w:top w:val="none" w:sz="0" w:space="0" w:color="auto"/>
                                    <w:left w:val="none" w:sz="0" w:space="0" w:color="auto"/>
                                    <w:bottom w:val="none" w:sz="0" w:space="0" w:color="auto"/>
                                    <w:right w:val="none" w:sz="0" w:space="0" w:color="auto"/>
                                  </w:divBdr>
                                </w:div>
                              </w:divsChild>
                            </w:div>
                            <w:div w:id="1840192485">
                              <w:marLeft w:val="-240"/>
                              <w:marRight w:val="-120"/>
                              <w:marTop w:val="0"/>
                              <w:marBottom w:val="0"/>
                              <w:divBdr>
                                <w:top w:val="none" w:sz="0" w:space="0" w:color="auto"/>
                                <w:left w:val="none" w:sz="0" w:space="0" w:color="auto"/>
                                <w:bottom w:val="none" w:sz="0" w:space="0" w:color="auto"/>
                                <w:right w:val="none" w:sz="0" w:space="0" w:color="auto"/>
                              </w:divBdr>
                              <w:divsChild>
                                <w:div w:id="1262762908">
                                  <w:marLeft w:val="0"/>
                                  <w:marRight w:val="0"/>
                                  <w:marTop w:val="0"/>
                                  <w:marBottom w:val="60"/>
                                  <w:divBdr>
                                    <w:top w:val="none" w:sz="0" w:space="0" w:color="auto"/>
                                    <w:left w:val="none" w:sz="0" w:space="0" w:color="auto"/>
                                    <w:bottom w:val="none" w:sz="0" w:space="0" w:color="auto"/>
                                    <w:right w:val="none" w:sz="0" w:space="0" w:color="auto"/>
                                  </w:divBdr>
                                  <w:divsChild>
                                    <w:div w:id="1970237453">
                                      <w:marLeft w:val="0"/>
                                      <w:marRight w:val="0"/>
                                      <w:marTop w:val="0"/>
                                      <w:marBottom w:val="0"/>
                                      <w:divBdr>
                                        <w:top w:val="none" w:sz="0" w:space="0" w:color="auto"/>
                                        <w:left w:val="none" w:sz="0" w:space="0" w:color="auto"/>
                                        <w:bottom w:val="none" w:sz="0" w:space="0" w:color="auto"/>
                                        <w:right w:val="none" w:sz="0" w:space="0" w:color="auto"/>
                                      </w:divBdr>
                                      <w:divsChild>
                                        <w:div w:id="1444305572">
                                          <w:marLeft w:val="0"/>
                                          <w:marRight w:val="0"/>
                                          <w:marTop w:val="0"/>
                                          <w:marBottom w:val="0"/>
                                          <w:divBdr>
                                            <w:top w:val="none" w:sz="0" w:space="0" w:color="auto"/>
                                            <w:left w:val="none" w:sz="0" w:space="0" w:color="auto"/>
                                            <w:bottom w:val="none" w:sz="0" w:space="0" w:color="auto"/>
                                            <w:right w:val="none" w:sz="0" w:space="0" w:color="auto"/>
                                          </w:divBdr>
                                          <w:divsChild>
                                            <w:div w:id="1192953779">
                                              <w:marLeft w:val="0"/>
                                              <w:marRight w:val="0"/>
                                              <w:marTop w:val="0"/>
                                              <w:marBottom w:val="0"/>
                                              <w:divBdr>
                                                <w:top w:val="none" w:sz="0" w:space="0" w:color="auto"/>
                                                <w:left w:val="none" w:sz="0" w:space="0" w:color="auto"/>
                                                <w:bottom w:val="none" w:sz="0" w:space="0" w:color="auto"/>
                                                <w:right w:val="none" w:sz="0" w:space="0" w:color="auto"/>
                                              </w:divBdr>
                                              <w:divsChild>
                                                <w:div w:id="10484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555121">
          <w:marLeft w:val="0"/>
          <w:marRight w:val="0"/>
          <w:marTop w:val="0"/>
          <w:marBottom w:val="0"/>
          <w:divBdr>
            <w:top w:val="none" w:sz="0" w:space="0" w:color="auto"/>
            <w:left w:val="none" w:sz="0" w:space="0" w:color="auto"/>
            <w:bottom w:val="none" w:sz="0" w:space="0" w:color="auto"/>
            <w:right w:val="none" w:sz="0" w:space="0" w:color="auto"/>
          </w:divBdr>
          <w:divsChild>
            <w:div w:id="1357923882">
              <w:marLeft w:val="0"/>
              <w:marRight w:val="0"/>
              <w:marTop w:val="0"/>
              <w:marBottom w:val="0"/>
              <w:divBdr>
                <w:top w:val="none" w:sz="0" w:space="0" w:color="auto"/>
                <w:left w:val="none" w:sz="0" w:space="0" w:color="auto"/>
                <w:bottom w:val="none" w:sz="0" w:space="0" w:color="auto"/>
                <w:right w:val="none" w:sz="0" w:space="0" w:color="auto"/>
              </w:divBdr>
              <w:divsChild>
                <w:div w:id="1589972">
                  <w:marLeft w:val="0"/>
                  <w:marRight w:val="0"/>
                  <w:marTop w:val="0"/>
                  <w:marBottom w:val="0"/>
                  <w:divBdr>
                    <w:top w:val="none" w:sz="0" w:space="0" w:color="auto"/>
                    <w:left w:val="none" w:sz="0" w:space="0" w:color="auto"/>
                    <w:bottom w:val="none" w:sz="0" w:space="0" w:color="auto"/>
                    <w:right w:val="none" w:sz="0" w:space="0" w:color="auto"/>
                  </w:divBdr>
                  <w:divsChild>
                    <w:div w:id="1008559898">
                      <w:marLeft w:val="0"/>
                      <w:marRight w:val="0"/>
                      <w:marTop w:val="0"/>
                      <w:marBottom w:val="0"/>
                      <w:divBdr>
                        <w:top w:val="none" w:sz="0" w:space="0" w:color="auto"/>
                        <w:left w:val="none" w:sz="0" w:space="0" w:color="auto"/>
                        <w:bottom w:val="none" w:sz="0" w:space="0" w:color="auto"/>
                        <w:right w:val="none" w:sz="0" w:space="0" w:color="auto"/>
                      </w:divBdr>
                      <w:divsChild>
                        <w:div w:id="1962683049">
                          <w:marLeft w:val="0"/>
                          <w:marRight w:val="0"/>
                          <w:marTop w:val="0"/>
                          <w:marBottom w:val="0"/>
                          <w:divBdr>
                            <w:top w:val="none" w:sz="0" w:space="0" w:color="auto"/>
                            <w:left w:val="none" w:sz="0" w:space="0" w:color="auto"/>
                            <w:bottom w:val="none" w:sz="0" w:space="0" w:color="auto"/>
                            <w:right w:val="none" w:sz="0" w:space="0" w:color="auto"/>
                          </w:divBdr>
                          <w:divsChild>
                            <w:div w:id="962350309">
                              <w:marLeft w:val="0"/>
                              <w:marRight w:val="120"/>
                              <w:marTop w:val="0"/>
                              <w:marBottom w:val="0"/>
                              <w:divBdr>
                                <w:top w:val="none" w:sz="0" w:space="0" w:color="auto"/>
                                <w:left w:val="none" w:sz="0" w:space="0" w:color="auto"/>
                                <w:bottom w:val="none" w:sz="0" w:space="0" w:color="auto"/>
                                <w:right w:val="none" w:sz="0" w:space="0" w:color="auto"/>
                              </w:divBdr>
                              <w:divsChild>
                                <w:div w:id="1491290028">
                                  <w:marLeft w:val="-300"/>
                                  <w:marRight w:val="0"/>
                                  <w:marTop w:val="0"/>
                                  <w:marBottom w:val="0"/>
                                  <w:divBdr>
                                    <w:top w:val="none" w:sz="0" w:space="0" w:color="auto"/>
                                    <w:left w:val="none" w:sz="0" w:space="0" w:color="auto"/>
                                    <w:bottom w:val="none" w:sz="0" w:space="0" w:color="auto"/>
                                    <w:right w:val="none" w:sz="0" w:space="0" w:color="auto"/>
                                  </w:divBdr>
                                </w:div>
                              </w:divsChild>
                            </w:div>
                            <w:div w:id="1237016806">
                              <w:marLeft w:val="-240"/>
                              <w:marRight w:val="-120"/>
                              <w:marTop w:val="0"/>
                              <w:marBottom w:val="0"/>
                              <w:divBdr>
                                <w:top w:val="none" w:sz="0" w:space="0" w:color="auto"/>
                                <w:left w:val="none" w:sz="0" w:space="0" w:color="auto"/>
                                <w:bottom w:val="none" w:sz="0" w:space="0" w:color="auto"/>
                                <w:right w:val="none" w:sz="0" w:space="0" w:color="auto"/>
                              </w:divBdr>
                              <w:divsChild>
                                <w:div w:id="580605239">
                                  <w:marLeft w:val="0"/>
                                  <w:marRight w:val="0"/>
                                  <w:marTop w:val="0"/>
                                  <w:marBottom w:val="60"/>
                                  <w:divBdr>
                                    <w:top w:val="none" w:sz="0" w:space="0" w:color="auto"/>
                                    <w:left w:val="none" w:sz="0" w:space="0" w:color="auto"/>
                                    <w:bottom w:val="none" w:sz="0" w:space="0" w:color="auto"/>
                                    <w:right w:val="none" w:sz="0" w:space="0" w:color="auto"/>
                                  </w:divBdr>
                                  <w:divsChild>
                                    <w:div w:id="1089616094">
                                      <w:marLeft w:val="0"/>
                                      <w:marRight w:val="0"/>
                                      <w:marTop w:val="0"/>
                                      <w:marBottom w:val="0"/>
                                      <w:divBdr>
                                        <w:top w:val="none" w:sz="0" w:space="0" w:color="auto"/>
                                        <w:left w:val="none" w:sz="0" w:space="0" w:color="auto"/>
                                        <w:bottom w:val="none" w:sz="0" w:space="0" w:color="auto"/>
                                        <w:right w:val="none" w:sz="0" w:space="0" w:color="auto"/>
                                      </w:divBdr>
                                      <w:divsChild>
                                        <w:div w:id="1339648846">
                                          <w:marLeft w:val="0"/>
                                          <w:marRight w:val="0"/>
                                          <w:marTop w:val="0"/>
                                          <w:marBottom w:val="0"/>
                                          <w:divBdr>
                                            <w:top w:val="none" w:sz="0" w:space="0" w:color="auto"/>
                                            <w:left w:val="none" w:sz="0" w:space="0" w:color="auto"/>
                                            <w:bottom w:val="none" w:sz="0" w:space="0" w:color="auto"/>
                                            <w:right w:val="none" w:sz="0" w:space="0" w:color="auto"/>
                                          </w:divBdr>
                                          <w:divsChild>
                                            <w:div w:id="23555268">
                                              <w:marLeft w:val="0"/>
                                              <w:marRight w:val="0"/>
                                              <w:marTop w:val="0"/>
                                              <w:marBottom w:val="0"/>
                                              <w:divBdr>
                                                <w:top w:val="none" w:sz="0" w:space="0" w:color="auto"/>
                                                <w:left w:val="none" w:sz="0" w:space="0" w:color="auto"/>
                                                <w:bottom w:val="none" w:sz="0" w:space="0" w:color="auto"/>
                                                <w:right w:val="none" w:sz="0" w:space="0" w:color="auto"/>
                                              </w:divBdr>
                                              <w:divsChild>
                                                <w:div w:id="3678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99686">
      <w:bodyDiv w:val="1"/>
      <w:marLeft w:val="0"/>
      <w:marRight w:val="0"/>
      <w:marTop w:val="0"/>
      <w:marBottom w:val="0"/>
      <w:divBdr>
        <w:top w:val="none" w:sz="0" w:space="0" w:color="auto"/>
        <w:left w:val="none" w:sz="0" w:space="0" w:color="auto"/>
        <w:bottom w:val="none" w:sz="0" w:space="0" w:color="auto"/>
        <w:right w:val="none" w:sz="0" w:space="0" w:color="auto"/>
      </w:divBdr>
    </w:div>
    <w:div w:id="996030616">
      <w:bodyDiv w:val="1"/>
      <w:marLeft w:val="0"/>
      <w:marRight w:val="0"/>
      <w:marTop w:val="0"/>
      <w:marBottom w:val="0"/>
      <w:divBdr>
        <w:top w:val="none" w:sz="0" w:space="0" w:color="auto"/>
        <w:left w:val="none" w:sz="0" w:space="0" w:color="auto"/>
        <w:bottom w:val="none" w:sz="0" w:space="0" w:color="auto"/>
        <w:right w:val="none" w:sz="0" w:space="0" w:color="auto"/>
      </w:divBdr>
    </w:div>
    <w:div w:id="1018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atiregistry.org/publish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delists.codeforiati.org/OrganisationRegistrationAgency/" TargetMode="External"/><Relationship Id="rId17" Type="http://schemas.openxmlformats.org/officeDocument/2006/relationships/hyperlink" Target="https://www.publishwhatyoufund.org/download/2020-index-report/" TargetMode="External"/><Relationship Id="rId2" Type="http://schemas.openxmlformats.org/officeDocument/2006/relationships/customXml" Target="../customXml/item2.xml"/><Relationship Id="rId16" Type="http://schemas.openxmlformats.org/officeDocument/2006/relationships/hyperlink" Target="http://reference.iatistandard.org/201/codelists/DocumentCateg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tiregistry.org/publisher" TargetMode="External"/><Relationship Id="rId5" Type="http://schemas.openxmlformats.org/officeDocument/2006/relationships/numbering" Target="numbering.xml"/><Relationship Id="rId15" Type="http://schemas.openxmlformats.org/officeDocument/2006/relationships/hyperlink" Target="https://stats.stackexchange.com/questions/11724/minimum-number-of-observations-for-logistic-regression" TargetMode="External"/><Relationship Id="rId10" Type="http://schemas.openxmlformats.org/officeDocument/2006/relationships/hyperlink" Target="https://codelists.codeforiati.org/OrganisationRegistrationAgency/"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iatistandard.org/en/iati-standard/203/activity-standard/iati-activities/iati-activity/participating-org/" TargetMode="External"/><Relationship Id="rId14" Type="http://schemas.openxmlformats.org/officeDocument/2006/relationships/hyperlink" Target="https://iatistandard.org/en/guidance/standard-guidance/condi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EEEE2EC8173B4EB90D60B99673023F" ma:contentTypeVersion="13" ma:contentTypeDescription="Create a new document." ma:contentTypeScope="" ma:versionID="d98975f65288487db858974065338358">
  <xsd:schema xmlns:xsd="http://www.w3.org/2001/XMLSchema" xmlns:xs="http://www.w3.org/2001/XMLSchema" xmlns:p="http://schemas.microsoft.com/office/2006/metadata/properties" xmlns:ns2="ca7811a4-597d-4b1c-828a-fe896b40d303" xmlns:ns3="bdeeb465-4212-44c7-ac0a-d74d68d53a8e" targetNamespace="http://schemas.microsoft.com/office/2006/metadata/properties" ma:root="true" ma:fieldsID="4fd76424aaa45f10e8091dd6c1af03d4" ns2:_="" ns3:_="">
    <xsd:import namespace="ca7811a4-597d-4b1c-828a-fe896b40d303"/>
    <xsd:import namespace="bdeeb465-4212-44c7-ac0a-d74d68d53a8e"/>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811a4-597d-4b1c-828a-fe896b40d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b465-4212-44c7-ac0a-d74d68d53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27E0-E07C-4677-A53B-0A11A65B76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A45D5-3570-4F17-BE24-CF048DF1D223}">
  <ds:schemaRefs>
    <ds:schemaRef ds:uri="http://schemas.microsoft.com/sharepoint/v3/contenttype/forms"/>
  </ds:schemaRefs>
</ds:datastoreItem>
</file>

<file path=customXml/itemProps3.xml><?xml version="1.0" encoding="utf-8"?>
<ds:datastoreItem xmlns:ds="http://schemas.openxmlformats.org/officeDocument/2006/customXml" ds:itemID="{B0AA1FEA-8765-4DDC-A098-3445FE646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811a4-597d-4b1c-828a-fe896b40d303"/>
    <ds:schemaRef ds:uri="bdeeb465-4212-44c7-ac0a-d74d68d53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F1290-E839-44B8-A462-ED72C600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5573</Words>
  <Characters>31769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Tilley</dc:creator>
  <cp:keywords/>
  <dc:description/>
  <cp:lastModifiedBy>Elma Jenkins</cp:lastModifiedBy>
  <cp:revision>2</cp:revision>
  <dcterms:created xsi:type="dcterms:W3CDTF">2021-03-08T15:30:00Z</dcterms:created>
  <dcterms:modified xsi:type="dcterms:W3CDTF">2021-03-08T15:30:00Z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0x01010096EEEE2EC8173B4EB90D60B99673023F</vt:lpwstr>
  </property>
</Properties>
</file>